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19602" w14:textId="6FA7E8EB" w:rsidR="005E7166" w:rsidRPr="00AC3CD2" w:rsidRDefault="005E7166" w:rsidP="005E7166">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6C4CA0">
        <w:rPr>
          <w:rFonts w:eastAsiaTheme="minorHAnsi" w:cs="Arial"/>
          <w:b/>
          <w:bCs/>
          <w:sz w:val="24"/>
          <w:szCs w:val="24"/>
          <w:lang w:val="en-US"/>
        </w:rPr>
        <w:t>12297</w:t>
      </w:r>
    </w:p>
    <w:p w14:paraId="10A48FF7" w14:textId="77777777" w:rsidR="005E7166" w:rsidRPr="00AC3CD2" w:rsidRDefault="005E7166" w:rsidP="005E7166">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 France</w:t>
      </w:r>
      <w:r w:rsidRPr="00AC3CD2">
        <w:rPr>
          <w:rFonts w:eastAsiaTheme="minorEastAsia" w:cs="Arial"/>
          <w:b/>
          <w:bCs/>
          <w:sz w:val="24"/>
          <w:szCs w:val="24"/>
          <w:lang w:val="en-US" w:eastAsia="ko-KR"/>
        </w:rPr>
        <w:t>, 1</w:t>
      </w:r>
      <w:r>
        <w:rPr>
          <w:rFonts w:eastAsiaTheme="minorEastAsia" w:cs="Arial"/>
          <w:b/>
          <w:bCs/>
          <w:sz w:val="24"/>
          <w:szCs w:val="24"/>
          <w:lang w:val="en-US" w:eastAsia="ko-KR"/>
        </w:rPr>
        <w:t>4</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18</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November</w:t>
      </w:r>
      <w:r w:rsidRPr="00AC3CD2">
        <w:rPr>
          <w:rFonts w:eastAsiaTheme="minorEastAsia" w:cs="Arial"/>
          <w:b/>
          <w:bCs/>
          <w:sz w:val="24"/>
          <w:szCs w:val="24"/>
          <w:lang w:val="en-US" w:eastAsia="ko-KR"/>
        </w:rPr>
        <w:t>, 2022</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18D7BE6B"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387E49" w:rsidRPr="00AC3CD2">
        <w:rPr>
          <w:rFonts w:cs="Arial"/>
          <w:b/>
          <w:bCs/>
          <w:sz w:val="24"/>
          <w:szCs w:val="24"/>
          <w:lang w:val="en-US"/>
        </w:rPr>
        <w:t>8.</w:t>
      </w:r>
      <w:r w:rsidR="00465087" w:rsidRPr="00AC3CD2">
        <w:rPr>
          <w:rFonts w:cs="Arial"/>
          <w:b/>
          <w:bCs/>
          <w:sz w:val="24"/>
          <w:szCs w:val="24"/>
          <w:lang w:val="en-US"/>
        </w:rPr>
        <w:t>6.</w:t>
      </w:r>
      <w:r w:rsidR="00FE1F7F" w:rsidRPr="00AC3CD2">
        <w:rPr>
          <w:rFonts w:cs="Arial"/>
          <w:b/>
          <w:bCs/>
          <w:sz w:val="24"/>
          <w:szCs w:val="24"/>
          <w:lang w:val="en-US"/>
        </w:rPr>
        <w:t>3</w:t>
      </w:r>
      <w:r w:rsidR="00CB730B">
        <w:rPr>
          <w:rFonts w:cs="Arial"/>
          <w:b/>
          <w:bCs/>
          <w:sz w:val="24"/>
          <w:szCs w:val="24"/>
          <w:lang w:val="en-US"/>
        </w:rPr>
        <w:t>.2</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6622E2DD"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CB730B">
        <w:rPr>
          <w:rFonts w:ascii="Arial" w:hAnsi="Arial" w:cs="Arial"/>
          <w:b/>
          <w:bCs/>
          <w:sz w:val="24"/>
          <w:szCs w:val="24"/>
        </w:rPr>
        <w:t xml:space="preserve">Other </w:t>
      </w:r>
      <w:r w:rsidR="00465087" w:rsidRPr="00AC3CD2">
        <w:rPr>
          <w:rFonts w:ascii="Arial" w:hAnsi="Arial" w:cs="Arial"/>
          <w:b/>
          <w:bCs/>
          <w:sz w:val="24"/>
          <w:szCs w:val="24"/>
        </w:rPr>
        <w:t>IoT-NTN</w:t>
      </w:r>
      <w:r w:rsidR="00FE1F7F" w:rsidRPr="00AC3CD2">
        <w:rPr>
          <w:rFonts w:ascii="Arial" w:hAnsi="Arial" w:cs="Arial"/>
          <w:b/>
          <w:bCs/>
          <w:sz w:val="24"/>
          <w:szCs w:val="24"/>
        </w:rPr>
        <w:t xml:space="preserve"> mobility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F36DFA7"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FE1F7F" w:rsidRPr="00AC3CD2">
        <w:rPr>
          <w:rFonts w:ascii="Arial" w:hAnsi="Arial" w:cs="Arial"/>
          <w:lang w:val="en-US"/>
        </w:rPr>
        <w:t>mobility</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B64ACB">
        <w:tc>
          <w:tcPr>
            <w:tcW w:w="9629" w:type="dxa"/>
          </w:tcPr>
          <w:p w14:paraId="27E62E78" w14:textId="77777777" w:rsidR="00C17C32" w:rsidRPr="00AC3CD2" w:rsidRDefault="00C17C32" w:rsidP="00C17C32">
            <w:pPr>
              <w:pStyle w:val="B1"/>
              <w:rPr>
                <w:rFonts w:ascii="Arial" w:hAnsi="Arial" w:cs="Arial"/>
              </w:rPr>
            </w:pPr>
            <w:r w:rsidRPr="00AC3CD2">
              <w:rPr>
                <w:rFonts w:ascii="Arial" w:hAnsi="Arial" w:cs="Arial"/>
              </w:rPr>
              <w:t>-</w:t>
            </w:r>
            <w:r w:rsidRPr="00AC3CD2">
              <w:rPr>
                <w:rFonts w:ascii="Arial" w:hAnsi="Arial" w:cs="Arial"/>
              </w:rPr>
              <w:tab/>
              <w:t>Support of neighbour cell measurements and corresponding measurement triggering before RLF, using Rel</w:t>
            </w:r>
            <w:r w:rsidRPr="00AC3CD2">
              <w:rPr>
                <w:rFonts w:ascii="Arial" w:hAnsi="Arial" w:cs="Arial"/>
              </w:rPr>
              <w:noBreakHyphen/>
              <w:t>17 (TN) NB-IoT, eMTC as a baseline. [RAN2]</w:t>
            </w:r>
          </w:p>
          <w:p w14:paraId="6215F053" w14:textId="133EED57" w:rsidR="00B64ACB" w:rsidRPr="00AC3CD2" w:rsidRDefault="00C17C32" w:rsidP="00C17C32">
            <w:pPr>
              <w:pStyle w:val="B1"/>
              <w:rPr>
                <w:rFonts w:ascii="Arial" w:hAnsi="Arial" w:cs="Arial"/>
              </w:rPr>
            </w:pPr>
            <w:r w:rsidRPr="00AC3CD2">
              <w:rPr>
                <w:rFonts w:ascii="Arial" w:hAnsi="Arial" w:cs="Arial"/>
              </w:rPr>
              <w:t>-</w:t>
            </w:r>
            <w:r w:rsidRPr="00AC3CD2">
              <w:rPr>
                <w:rFonts w:ascii="Arial" w:hAnsi="Arial" w:cs="Arial"/>
              </w:rPr>
              <w:tab/>
              <w:t>Re-use the solutions introduced in Rel-17 NR NTN for mobility enhancements for eMTC, with minimum necessary changes to adapt them to eMTC [RAN2]</w:t>
            </w:r>
          </w:p>
        </w:tc>
      </w:tr>
    </w:tbl>
    <w:p w14:paraId="26C535DD" w14:textId="77777777" w:rsidR="00B64ACB" w:rsidRPr="00AC3CD2" w:rsidRDefault="00B64ACB" w:rsidP="00E06B61">
      <w:pPr>
        <w:jc w:val="both"/>
        <w:rPr>
          <w:rFonts w:ascii="Arial" w:hAnsi="Arial" w:cs="Arial"/>
          <w:lang w:val="en-US"/>
        </w:rPr>
      </w:pPr>
    </w:p>
    <w:p w14:paraId="12AA5C8E" w14:textId="65757AF7" w:rsidR="008C6F64" w:rsidRDefault="008C6F64" w:rsidP="00E06B61">
      <w:pPr>
        <w:jc w:val="both"/>
        <w:rPr>
          <w:rFonts w:ascii="Arial" w:hAnsi="Arial" w:cs="Arial"/>
          <w:lang w:val="en-US"/>
        </w:rPr>
      </w:pPr>
      <w:r>
        <w:rPr>
          <w:rFonts w:ascii="Arial" w:hAnsi="Arial" w:cs="Arial"/>
          <w:lang w:val="en-US"/>
        </w:rPr>
        <w:t>In RAN2#1</w:t>
      </w:r>
      <w:r w:rsidR="00EC4862">
        <w:rPr>
          <w:rFonts w:ascii="Arial" w:hAnsi="Arial" w:cs="Arial"/>
          <w:lang w:val="en-US"/>
        </w:rPr>
        <w:t>1</w:t>
      </w:r>
      <w:r>
        <w:rPr>
          <w:rFonts w:ascii="Arial" w:hAnsi="Arial" w:cs="Arial"/>
          <w:lang w:val="en-US"/>
        </w:rPr>
        <w:t>9</w:t>
      </w:r>
      <w:r w:rsidR="00EC4862">
        <w:rPr>
          <w:rFonts w:ascii="Arial" w:hAnsi="Arial" w:cs="Arial"/>
          <w:lang w:val="en-US"/>
        </w:rPr>
        <w:t>e</w:t>
      </w:r>
      <w:r>
        <w:rPr>
          <w:rFonts w:ascii="Arial" w:hAnsi="Arial" w:cs="Arial"/>
          <w:lang w:val="en-US"/>
        </w:rPr>
        <w:t xml:space="preserve"> the following agreements were made:</w:t>
      </w:r>
    </w:p>
    <w:p w14:paraId="18FF366B" w14:textId="77777777" w:rsidR="008C6F64" w:rsidRDefault="008C6F64" w:rsidP="008C6F64">
      <w:pPr>
        <w:pStyle w:val="Doc-text2"/>
        <w:pBdr>
          <w:top w:val="single" w:sz="4" w:space="1" w:color="auto"/>
          <w:left w:val="single" w:sz="4" w:space="4" w:color="auto"/>
          <w:bottom w:val="single" w:sz="4" w:space="1" w:color="auto"/>
          <w:right w:val="single" w:sz="4" w:space="4" w:color="auto"/>
        </w:pBdr>
      </w:pPr>
      <w:r w:rsidRPr="006104CA">
        <w:t>Agreements:</w:t>
      </w:r>
    </w:p>
    <w:p w14:paraId="11D76058"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0E97CFA9"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71064901"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192B9790" w14:textId="77777777" w:rsidR="008C6F64" w:rsidRDefault="008C6F64" w:rsidP="008C6F64">
      <w:pPr>
        <w:pStyle w:val="Doc-text2"/>
        <w:numPr>
          <w:ilvl w:val="0"/>
          <w:numId w:val="25"/>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78B37E3F" w14:textId="6B75C586" w:rsidR="008C6F64" w:rsidRDefault="008C6F64" w:rsidP="00E06B61">
      <w:pPr>
        <w:jc w:val="both"/>
        <w:rPr>
          <w:rFonts w:ascii="Arial" w:hAnsi="Arial" w:cs="Arial"/>
        </w:rPr>
      </w:pPr>
    </w:p>
    <w:p w14:paraId="2027A73C" w14:textId="6035DD29" w:rsidR="000507FD" w:rsidRDefault="000507FD" w:rsidP="00E06B61">
      <w:pPr>
        <w:jc w:val="both"/>
        <w:rPr>
          <w:rFonts w:ascii="Arial" w:hAnsi="Arial" w:cs="Arial"/>
        </w:rPr>
      </w:pPr>
      <w:r>
        <w:rPr>
          <w:rFonts w:ascii="Arial" w:hAnsi="Arial" w:cs="Arial"/>
        </w:rPr>
        <w:t xml:space="preserve">In RAN2-119bis-e the following agreements were made: </w:t>
      </w:r>
    </w:p>
    <w:tbl>
      <w:tblPr>
        <w:tblStyle w:val="TableGrid"/>
        <w:tblW w:w="0" w:type="auto"/>
        <w:tblLook w:val="04A0" w:firstRow="1" w:lastRow="0" w:firstColumn="1" w:lastColumn="0" w:noHBand="0" w:noVBand="1"/>
      </w:tblPr>
      <w:tblGrid>
        <w:gridCol w:w="9629"/>
      </w:tblGrid>
      <w:tr w:rsidR="000507FD" w14:paraId="5A3788C7" w14:textId="77777777" w:rsidTr="000507FD">
        <w:tc>
          <w:tcPr>
            <w:tcW w:w="9629" w:type="dxa"/>
          </w:tcPr>
          <w:p w14:paraId="6A261476" w14:textId="77777777" w:rsidR="000507FD" w:rsidRDefault="000507FD" w:rsidP="000507FD">
            <w:pPr>
              <w:pStyle w:val="Doc-text2"/>
              <w:numPr>
                <w:ilvl w:val="0"/>
                <w:numId w:val="29"/>
              </w:numPr>
              <w:rPr>
                <w:rFonts w:asciiTheme="minorHAnsi" w:hAnsiTheme="minorHAnsi" w:cstheme="minorHAnsi"/>
              </w:rPr>
            </w:pPr>
            <w:r w:rsidRPr="000852F0">
              <w:rPr>
                <w:rFonts w:asciiTheme="minorHAnsi" w:hAnsiTheme="minorHAnsi" w:cstheme="minorHAnsi"/>
              </w:rPr>
              <w:t>For eMTC over NTN, for both earth-moving and earth-fixed cell scenarios, we introduce location based CHO triggering events</w:t>
            </w:r>
          </w:p>
          <w:p w14:paraId="25376C04" w14:textId="77777777" w:rsidR="000507FD" w:rsidRDefault="000507FD" w:rsidP="00E06B61">
            <w:pPr>
              <w:jc w:val="both"/>
              <w:rPr>
                <w:rFonts w:ascii="Arial" w:hAnsi="Arial" w:cs="Arial"/>
              </w:rPr>
            </w:pPr>
          </w:p>
        </w:tc>
      </w:tr>
    </w:tbl>
    <w:p w14:paraId="0D72536D" w14:textId="77777777" w:rsidR="000507FD" w:rsidRPr="008C6F64" w:rsidRDefault="000507FD" w:rsidP="00E06B61">
      <w:pPr>
        <w:jc w:val="both"/>
        <w:rPr>
          <w:rFonts w:ascii="Arial" w:hAnsi="Arial" w:cs="Arial"/>
        </w:rPr>
      </w:pPr>
    </w:p>
    <w:p w14:paraId="6380314B" w14:textId="77777777" w:rsidR="00B474EC" w:rsidRPr="00AC3CD2" w:rsidRDefault="00B474EC" w:rsidP="00B474EC">
      <w:pPr>
        <w:rPr>
          <w:rFonts w:ascii="Arial" w:hAnsi="Arial" w:cs="Arial"/>
        </w:rPr>
      </w:pPr>
      <w:r>
        <w:rPr>
          <w:rFonts w:ascii="Arial" w:hAnsi="Arial" w:cs="Arial"/>
        </w:rPr>
        <w:t>F</w:t>
      </w:r>
      <w:r w:rsidRPr="00AC3CD2">
        <w:rPr>
          <w:rFonts w:ascii="Arial" w:hAnsi="Arial" w:cs="Arial"/>
        </w:rPr>
        <w:t>or both NR and IoT</w:t>
      </w:r>
      <w:r>
        <w:rPr>
          <w:rFonts w:ascii="Arial" w:hAnsi="Arial" w:cs="Arial"/>
        </w:rPr>
        <w:t xml:space="preserve"> NTN</w:t>
      </w:r>
      <w:r w:rsidRPr="00AC3CD2">
        <w:rPr>
          <w:rFonts w:ascii="Arial" w:hAnsi="Arial" w:cs="Arial"/>
        </w:rPr>
        <w:t xml:space="preserve">, mobility enhancements so far have mainly introduced </w:t>
      </w:r>
      <w:r>
        <w:rPr>
          <w:rFonts w:ascii="Arial" w:hAnsi="Arial" w:cs="Arial"/>
        </w:rPr>
        <w:t>additional</w:t>
      </w:r>
      <w:r w:rsidRPr="00AC3CD2">
        <w:rPr>
          <w:rFonts w:ascii="Arial" w:hAnsi="Arial" w:cs="Arial"/>
        </w:rPr>
        <w:t xml:space="preserve"> triggers for cell reselection, measurement reporting, and CHO. This is due to the</w:t>
      </w:r>
      <w:r>
        <w:rPr>
          <w:rFonts w:ascii="Arial" w:hAnsi="Arial" w:cs="Arial"/>
        </w:rPr>
        <w:t xml:space="preserve"> predictability of satellite movement, and </w:t>
      </w:r>
      <w:r w:rsidRPr="00AC3CD2">
        <w:rPr>
          <w:rFonts w:ascii="Arial" w:hAnsi="Arial" w:cs="Arial"/>
        </w:rPr>
        <w:t>recogni</w:t>
      </w:r>
      <w:r>
        <w:rPr>
          <w:rFonts w:ascii="Arial" w:hAnsi="Arial" w:cs="Arial"/>
        </w:rPr>
        <w:t>tion</w:t>
      </w:r>
      <w:r w:rsidRPr="00AC3CD2">
        <w:rPr>
          <w:rFonts w:ascii="Arial" w:hAnsi="Arial" w:cs="Arial"/>
        </w:rPr>
        <w:t xml:space="preserve"> that RSRP based triggers are less effective in NTN cells due to a more uniform RSRP measurement across the cell</w:t>
      </w:r>
      <w:r>
        <w:rPr>
          <w:rFonts w:ascii="Arial" w:hAnsi="Arial" w:cs="Arial"/>
        </w:rPr>
        <w:t xml:space="preserve"> (as compared to terrestrial networks)</w:t>
      </w:r>
      <w:r w:rsidRPr="00AC3CD2">
        <w:rPr>
          <w:rFonts w:ascii="Arial" w:hAnsi="Arial" w:cs="Arial"/>
        </w:rPr>
        <w:t>.</w:t>
      </w:r>
    </w:p>
    <w:p w14:paraId="5A78215E" w14:textId="77777777" w:rsidR="00B474EC" w:rsidRDefault="00B474EC" w:rsidP="00E06B61">
      <w:pPr>
        <w:jc w:val="both"/>
        <w:rPr>
          <w:rFonts w:ascii="Arial" w:hAnsi="Arial" w:cs="Arial"/>
        </w:rPr>
      </w:pPr>
    </w:p>
    <w:p w14:paraId="3D9A87E5" w14:textId="430E28E0"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w:t>
      </w:r>
      <w:r w:rsidR="008C6F64">
        <w:rPr>
          <w:rFonts w:ascii="Arial" w:hAnsi="Arial" w:cs="Arial"/>
          <w:lang w:val="en-US"/>
        </w:rPr>
        <w:t>elaborate on the</w:t>
      </w:r>
      <w:r w:rsidRPr="00AC3CD2">
        <w:rPr>
          <w:rFonts w:ascii="Arial" w:hAnsi="Arial" w:cs="Arial"/>
          <w:lang w:val="en-US"/>
        </w:rPr>
        <w:t xml:space="preserve"> </w:t>
      </w:r>
      <w:r w:rsidR="00523801" w:rsidRPr="00AC3CD2">
        <w:rPr>
          <w:rFonts w:ascii="Arial" w:hAnsi="Arial" w:cs="Arial"/>
          <w:lang w:val="en-US"/>
        </w:rPr>
        <w:t>potential impact</w:t>
      </w:r>
      <w:r w:rsidR="00B474EC">
        <w:rPr>
          <w:rFonts w:ascii="Arial" w:hAnsi="Arial" w:cs="Arial"/>
          <w:lang w:val="en-US"/>
        </w:rPr>
        <w:t xml:space="preserve"> </w:t>
      </w:r>
      <w:r w:rsidR="00AB3F45">
        <w:rPr>
          <w:rFonts w:ascii="Arial" w:hAnsi="Arial" w:cs="Arial"/>
          <w:lang w:val="en-US"/>
        </w:rPr>
        <w:t>for NB-IoT and eMTC NTN mobility enhancement</w:t>
      </w:r>
      <w:r w:rsidR="000507FD">
        <w:rPr>
          <w:rFonts w:ascii="Arial" w:hAnsi="Arial" w:cs="Arial"/>
          <w:lang w:val="en-US"/>
        </w:rPr>
        <w:t>, other than measurements before RLF,</w:t>
      </w:r>
      <w:r w:rsidR="00AB3F45">
        <w:rPr>
          <w:rFonts w:ascii="Arial" w:hAnsi="Arial" w:cs="Arial"/>
          <w:lang w:val="en-US"/>
        </w:rPr>
        <w:t xml:space="preserve"> in Rel-18.</w:t>
      </w:r>
    </w:p>
    <w:p w14:paraId="472DE889" w14:textId="77777777" w:rsidR="00AB3F45" w:rsidRPr="00AB3F45" w:rsidRDefault="00AB3F45" w:rsidP="00486FBF">
      <w:pPr>
        <w:rPr>
          <w:rFonts w:ascii="Arial" w:hAnsi="Arial" w:cs="Arial"/>
        </w:rPr>
      </w:pPr>
    </w:p>
    <w:p w14:paraId="6696577F" w14:textId="34734387" w:rsidR="0030215B" w:rsidRPr="007971E0" w:rsidRDefault="00AB3F45" w:rsidP="007971E0">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7971E0">
        <w:rPr>
          <w:rFonts w:ascii="Arial" w:hAnsi="Arial" w:cs="Arial"/>
        </w:rPr>
        <w:t xml:space="preserve">eMTC </w:t>
      </w:r>
      <w:r w:rsidR="00D815FA" w:rsidRPr="007971E0">
        <w:rPr>
          <w:rFonts w:ascii="Arial" w:hAnsi="Arial" w:cs="Arial"/>
        </w:rPr>
        <w:t>RRC_CONNECTED enhancements</w:t>
      </w:r>
      <w:r w:rsidR="00EC4DB8" w:rsidRPr="007971E0">
        <w:rPr>
          <w:rFonts w:ascii="Arial" w:hAnsi="Arial" w:cs="Arial"/>
        </w:rPr>
        <w:t xml:space="preserve"> </w:t>
      </w:r>
    </w:p>
    <w:p w14:paraId="6475BD92" w14:textId="77777777" w:rsidR="00AB3F45" w:rsidRPr="00AB3F45" w:rsidRDefault="00AB3F45" w:rsidP="00AB3F45">
      <w:pPr>
        <w:pStyle w:val="Heading2"/>
      </w:pPr>
      <w:r w:rsidRPr="00AB3F45">
        <w:rPr>
          <w:rStyle w:val="Emphasis"/>
          <w:i w:val="0"/>
          <w:iCs/>
        </w:rPr>
        <w:t>2.1</w:t>
      </w:r>
      <w:r w:rsidRPr="00AB3F45">
        <w:rPr>
          <w:rStyle w:val="Emphasis"/>
          <w:i w:val="0"/>
          <w:iCs/>
        </w:rPr>
        <w:tab/>
      </w:r>
      <w:r w:rsidRPr="00AB3F45">
        <w:t>Background</w:t>
      </w:r>
    </w:p>
    <w:p w14:paraId="76706A01" w14:textId="77777777" w:rsidR="00D815FA" w:rsidRPr="00AC3CD2" w:rsidRDefault="00D815FA" w:rsidP="00D815FA">
      <w:pPr>
        <w:rPr>
          <w:rFonts w:ascii="Arial" w:hAnsi="Arial" w:cs="Arial"/>
        </w:rPr>
      </w:pPr>
      <w:r w:rsidRPr="00AC3CD2">
        <w:rPr>
          <w:rFonts w:ascii="Arial" w:hAnsi="Arial" w:cs="Arial"/>
        </w:rPr>
        <w:t>Rel-17 enhancements to RRC_CONNECTED focus primarily on adapting mobility and measurement procedures to non-terrestrial environments. Key modifications to mobility include additional execution conditions for conditional handover such as the A4 event, and time/location-based conditions:</w:t>
      </w:r>
    </w:p>
    <w:p w14:paraId="519FA7D1" w14:textId="2AB47957" w:rsidR="00D815FA" w:rsidRPr="00AC3CD2" w:rsidRDefault="00D815FA" w:rsidP="00D815FA">
      <w:pPr>
        <w:pStyle w:val="ListParagraph"/>
        <w:numPr>
          <w:ilvl w:val="0"/>
          <w:numId w:val="23"/>
        </w:numPr>
        <w:spacing w:after="160" w:line="259" w:lineRule="auto"/>
        <w:contextualSpacing/>
        <w:rPr>
          <w:rFonts w:ascii="Arial" w:hAnsi="Arial" w:cs="Arial"/>
          <w:sz w:val="20"/>
          <w:szCs w:val="20"/>
        </w:rPr>
      </w:pPr>
      <w:r w:rsidRPr="00AC3CD2">
        <w:rPr>
          <w:rFonts w:ascii="Arial" w:hAnsi="Arial" w:cs="Arial"/>
          <w:sz w:val="20"/>
          <w:szCs w:val="20"/>
        </w:rPr>
        <w:t>The location-based event is defined by the condEventD1, where the event will be satisfied if the distance between the UE and a first reference location (e.g. within the serving cell) is above a threshold, and the distance between the UE and a second reference location (e.g. within a neighbour cell) is below a threshold.</w:t>
      </w:r>
    </w:p>
    <w:p w14:paraId="4BCDE243" w14:textId="1630D3C9" w:rsidR="00183A09" w:rsidRPr="00AC3CD2" w:rsidRDefault="00D815FA" w:rsidP="00183A09">
      <w:pPr>
        <w:pStyle w:val="ListParagraph"/>
        <w:numPr>
          <w:ilvl w:val="0"/>
          <w:numId w:val="23"/>
        </w:numPr>
        <w:spacing w:after="160" w:line="259" w:lineRule="auto"/>
        <w:contextualSpacing/>
        <w:rPr>
          <w:rFonts w:ascii="Arial" w:hAnsi="Arial" w:cs="Arial"/>
          <w:sz w:val="20"/>
          <w:szCs w:val="20"/>
        </w:rPr>
      </w:pPr>
      <w:r w:rsidRPr="00AC3CD2">
        <w:rPr>
          <w:rFonts w:ascii="Arial" w:hAnsi="Arial" w:cs="Arial"/>
          <w:sz w:val="20"/>
          <w:szCs w:val="20"/>
        </w:rPr>
        <w:lastRenderedPageBreak/>
        <w:t>The time-based event is defined by the condEventT1, where the event will be satisfied if conditional handover execution occurs between T1 and T2, where T2 = T1 + a duration.</w:t>
      </w:r>
    </w:p>
    <w:p w14:paraId="1614B0B0" w14:textId="3B2F4BF7" w:rsidR="00D815FA" w:rsidRPr="00AC3CD2" w:rsidRDefault="00D815FA" w:rsidP="00D815FA">
      <w:pPr>
        <w:rPr>
          <w:rFonts w:ascii="Arial" w:hAnsi="Arial" w:cs="Arial"/>
        </w:rPr>
      </w:pPr>
      <w:r w:rsidRPr="00AC3CD2">
        <w:rPr>
          <w:rFonts w:ascii="Arial" w:hAnsi="Arial" w:cs="Arial"/>
        </w:rPr>
        <w:t>Both time and location-based trigger conditions must be simultaneously configured with a measurement condition (e.g. A4) in Rel-17 NTN.</w:t>
      </w:r>
    </w:p>
    <w:p w14:paraId="20820B0A" w14:textId="77777777" w:rsidR="00183A09" w:rsidRPr="00AC3CD2" w:rsidRDefault="00183A09" w:rsidP="00D815FA">
      <w:pPr>
        <w:rPr>
          <w:rFonts w:ascii="Arial" w:hAnsi="Arial" w:cs="Arial"/>
        </w:rPr>
      </w:pPr>
    </w:p>
    <w:p w14:paraId="32CB164C" w14:textId="77777777" w:rsidR="00D815FA" w:rsidRPr="00AC3CD2" w:rsidRDefault="00D815FA" w:rsidP="00D815FA">
      <w:pPr>
        <w:rPr>
          <w:rFonts w:ascii="Arial" w:hAnsi="Arial" w:cs="Arial"/>
        </w:rPr>
      </w:pPr>
      <w:r w:rsidRPr="00AC3CD2">
        <w:rPr>
          <w:rFonts w:ascii="Arial" w:hAnsi="Arial" w:cs="Arial"/>
        </w:rPr>
        <w:t xml:space="preserve">Other modifications apply to measurements, and include the following:: </w:t>
      </w:r>
    </w:p>
    <w:p w14:paraId="34232A97" w14:textId="77777777" w:rsidR="00D815FA" w:rsidRPr="00AC3CD2" w:rsidRDefault="00D815FA" w:rsidP="00D815FA">
      <w:pPr>
        <w:pStyle w:val="ListParagraph"/>
        <w:numPr>
          <w:ilvl w:val="0"/>
          <w:numId w:val="22"/>
        </w:numPr>
        <w:spacing w:after="160" w:line="259" w:lineRule="auto"/>
        <w:contextualSpacing/>
        <w:rPr>
          <w:rFonts w:ascii="Arial" w:hAnsi="Arial" w:cs="Arial"/>
          <w:sz w:val="20"/>
          <w:szCs w:val="20"/>
        </w:rPr>
      </w:pPr>
      <w:r w:rsidRPr="00AC3CD2">
        <w:rPr>
          <w:rFonts w:ascii="Arial" w:hAnsi="Arial" w:cs="Arial"/>
          <w:sz w:val="20"/>
          <w:szCs w:val="20"/>
        </w:rPr>
        <w:t xml:space="preserve">location-based measurement reporting (based on eventD1, with similar execution conditions as condEventD1). </w:t>
      </w:r>
    </w:p>
    <w:p w14:paraId="4425B98C" w14:textId="77777777" w:rsidR="00D815FA" w:rsidRPr="00AC3CD2" w:rsidRDefault="00D815FA" w:rsidP="00D815FA">
      <w:pPr>
        <w:pStyle w:val="ListParagraph"/>
        <w:numPr>
          <w:ilvl w:val="0"/>
          <w:numId w:val="22"/>
        </w:numPr>
        <w:spacing w:after="160" w:line="259" w:lineRule="auto"/>
        <w:contextualSpacing/>
        <w:rPr>
          <w:rFonts w:ascii="Arial" w:hAnsi="Arial" w:cs="Arial"/>
          <w:sz w:val="20"/>
          <w:szCs w:val="20"/>
        </w:rPr>
      </w:pPr>
      <w:r w:rsidRPr="00AC3CD2">
        <w:rPr>
          <w:rFonts w:ascii="Arial" w:hAnsi="Arial" w:cs="Arial"/>
          <w:sz w:val="20"/>
          <w:szCs w:val="20"/>
        </w:rPr>
        <w:t>Multiple SMTCs can be configured per carrier for a given set of cells using propagation delay difference, feeder-link delay, and serving/neighbour cell statellie ephemeris</w:t>
      </w:r>
    </w:p>
    <w:p w14:paraId="764C0FC4" w14:textId="42B48CD6" w:rsidR="00D815FA" w:rsidRDefault="00D815FA" w:rsidP="00D815FA">
      <w:pPr>
        <w:pStyle w:val="ListParagraph"/>
        <w:numPr>
          <w:ilvl w:val="0"/>
          <w:numId w:val="22"/>
        </w:numPr>
        <w:spacing w:after="160" w:line="259" w:lineRule="auto"/>
        <w:contextualSpacing/>
        <w:rPr>
          <w:rFonts w:ascii="Arial" w:hAnsi="Arial" w:cs="Arial"/>
          <w:sz w:val="20"/>
          <w:szCs w:val="20"/>
        </w:rPr>
      </w:pPr>
      <w:r w:rsidRPr="00AC3CD2">
        <w:rPr>
          <w:rFonts w:ascii="Arial" w:hAnsi="Arial" w:cs="Arial"/>
          <w:sz w:val="20"/>
          <w:szCs w:val="20"/>
        </w:rPr>
        <w:t>Measurement gaps can be configured using the same propagation delay differences as computed for SMTC.</w:t>
      </w:r>
    </w:p>
    <w:p w14:paraId="1656E919" w14:textId="1F392AAB" w:rsidR="007971E0" w:rsidRDefault="007971E0" w:rsidP="007971E0">
      <w:pPr>
        <w:pStyle w:val="Heading2"/>
      </w:pPr>
      <w:r>
        <w:t>2.2</w:t>
      </w:r>
      <w:r>
        <w:tab/>
        <w:t xml:space="preserve"> Discussion</w:t>
      </w:r>
    </w:p>
    <w:p w14:paraId="31044537" w14:textId="77777777" w:rsidR="00C64244" w:rsidRDefault="00C64244" w:rsidP="00C64244">
      <w:pPr>
        <w:rPr>
          <w:rFonts w:ascii="Arial" w:hAnsi="Arial" w:cs="Arial"/>
        </w:rPr>
      </w:pPr>
      <w:r w:rsidRPr="00AC3CD2">
        <w:rPr>
          <w:rFonts w:ascii="Arial" w:hAnsi="Arial" w:cs="Arial"/>
        </w:rPr>
        <w:t>For eMTC, it should be possible to re-use the connected mode enhancements to CHO and measurement triggering. As the WID suggests, minimum necessary changes should be introduced to adapt them to eMTC. In our understanding, changes/deviations from NR are primarily a stage 3 matter, for example the RRC specification style and arrangement is slightly different</w:t>
      </w:r>
      <w:r>
        <w:rPr>
          <w:rFonts w:ascii="Arial" w:hAnsi="Arial" w:cs="Arial"/>
        </w:rPr>
        <w:t xml:space="preserve"> for how conditional handover is defined</w:t>
      </w:r>
      <w:r w:rsidRPr="00AC3CD2">
        <w:rPr>
          <w:rFonts w:ascii="Arial" w:hAnsi="Arial" w:cs="Arial"/>
        </w:rPr>
        <w:t xml:space="preserve">, however the stage 2 agreement could potentially already be made. </w:t>
      </w:r>
    </w:p>
    <w:p w14:paraId="0BE01BDC" w14:textId="77777777" w:rsidR="00C64244" w:rsidRDefault="00C64244" w:rsidP="00C64244">
      <w:pPr>
        <w:rPr>
          <w:rFonts w:ascii="Arial" w:hAnsi="Arial" w:cs="Arial"/>
        </w:rPr>
      </w:pPr>
    </w:p>
    <w:p w14:paraId="3B50954F" w14:textId="77777777" w:rsidR="00C64244" w:rsidRDefault="00C64244" w:rsidP="00C64244">
      <w:pPr>
        <w:rPr>
          <w:rFonts w:ascii="Arial" w:hAnsi="Arial" w:cs="Arial"/>
          <w:b/>
          <w:bCs/>
        </w:rPr>
      </w:pPr>
    </w:p>
    <w:p w14:paraId="1D7CC0C2" w14:textId="77777777" w:rsidR="00C64244" w:rsidRPr="00283438" w:rsidRDefault="00C64244" w:rsidP="00C64244">
      <w:pPr>
        <w:rPr>
          <w:rFonts w:ascii="Arial" w:hAnsi="Arial" w:cs="Arial"/>
        </w:rPr>
      </w:pPr>
      <w:r w:rsidRPr="00283438">
        <w:rPr>
          <w:rFonts w:ascii="Arial" w:hAnsi="Arial" w:cs="Arial"/>
        </w:rPr>
        <w:t xml:space="preserve">It was agreed to continue working on a new time-based trigger. We think we can simply re-use what was agreed for NR, and elaborate further on the previous agreements as follows: </w:t>
      </w:r>
    </w:p>
    <w:p w14:paraId="55FB89C6" w14:textId="77777777" w:rsidR="00C64244" w:rsidRPr="00283438" w:rsidRDefault="00C64244" w:rsidP="00C64244">
      <w:pPr>
        <w:rPr>
          <w:rFonts w:ascii="Arial" w:hAnsi="Arial" w:cs="Arial"/>
        </w:rPr>
      </w:pPr>
    </w:p>
    <w:p w14:paraId="2DE14CB8" w14:textId="532A29F6" w:rsidR="00C64244" w:rsidRPr="00B90BD9" w:rsidRDefault="00C64244" w:rsidP="00C64244">
      <w:pPr>
        <w:rPr>
          <w:rFonts w:ascii="Arial" w:hAnsi="Arial" w:cs="Arial"/>
          <w:b/>
          <w:bCs/>
        </w:rPr>
      </w:pPr>
      <w:r w:rsidRPr="00B90BD9">
        <w:rPr>
          <w:rFonts w:ascii="Arial" w:hAnsi="Arial" w:cs="Arial"/>
          <w:b/>
          <w:bCs/>
        </w:rPr>
        <w:t xml:space="preserve">Proposal </w:t>
      </w:r>
      <w:r w:rsidR="000507FD">
        <w:rPr>
          <w:rFonts w:ascii="Arial" w:hAnsi="Arial" w:cs="Arial"/>
          <w:b/>
          <w:bCs/>
        </w:rPr>
        <w:t>1</w:t>
      </w:r>
      <w:r w:rsidRPr="00B90BD9">
        <w:rPr>
          <w:rFonts w:ascii="Arial" w:hAnsi="Arial" w:cs="Arial"/>
          <w:b/>
          <w:bCs/>
        </w:rPr>
        <w:t>: For eMTC NTN, introduce a time-based conditional reconfiguration trigger based on condEventT1 in NR, where the event will be satisfied if conditional handover execution occurs between T1 and T2, where T2 = T1 + a duration.</w:t>
      </w:r>
    </w:p>
    <w:p w14:paraId="3748F5E0" w14:textId="77777777" w:rsidR="00C64244" w:rsidRPr="00AC3CD2" w:rsidRDefault="00C64244" w:rsidP="00C64244">
      <w:pPr>
        <w:rPr>
          <w:rFonts w:ascii="Arial" w:hAnsi="Arial" w:cs="Arial"/>
        </w:rPr>
      </w:pPr>
    </w:p>
    <w:p w14:paraId="2C2B035D" w14:textId="4F1F40DD" w:rsidR="00F01141" w:rsidRPr="00AC3CD2" w:rsidRDefault="00F01141" w:rsidP="00F01141">
      <w:pPr>
        <w:rPr>
          <w:rFonts w:ascii="Arial" w:hAnsi="Arial" w:cs="Arial"/>
        </w:rPr>
      </w:pPr>
      <w:r>
        <w:rPr>
          <w:rFonts w:ascii="Arial" w:hAnsi="Arial" w:cs="Arial"/>
        </w:rPr>
        <w:t xml:space="preserve">In the previous meeting, it was </w:t>
      </w:r>
      <w:r w:rsidR="000507FD">
        <w:rPr>
          <w:rFonts w:ascii="Arial" w:hAnsi="Arial" w:cs="Arial"/>
        </w:rPr>
        <w:t>further agreed to support a location based trigger, therefore we can elaborate further based on NR as follows:</w:t>
      </w:r>
    </w:p>
    <w:p w14:paraId="092CD8E9" w14:textId="77777777" w:rsidR="00F01141" w:rsidRPr="00AC3CD2" w:rsidRDefault="00F01141" w:rsidP="00F01141">
      <w:pPr>
        <w:rPr>
          <w:rFonts w:ascii="Arial" w:hAnsi="Arial" w:cs="Arial"/>
        </w:rPr>
      </w:pPr>
    </w:p>
    <w:p w14:paraId="188A191F" w14:textId="7D083580" w:rsidR="00F01141" w:rsidRPr="00B90BD9" w:rsidRDefault="00F01141" w:rsidP="00F01141">
      <w:pPr>
        <w:rPr>
          <w:rFonts w:ascii="Arial" w:hAnsi="Arial" w:cs="Arial"/>
          <w:b/>
          <w:bCs/>
        </w:rPr>
      </w:pPr>
      <w:r w:rsidRPr="00B90BD9">
        <w:rPr>
          <w:rFonts w:ascii="Arial" w:hAnsi="Arial" w:cs="Arial"/>
          <w:b/>
          <w:bCs/>
        </w:rPr>
        <w:t xml:space="preserve">Proposal </w:t>
      </w:r>
      <w:r w:rsidR="000507FD">
        <w:rPr>
          <w:rFonts w:ascii="Arial" w:hAnsi="Arial" w:cs="Arial"/>
          <w:b/>
          <w:bCs/>
        </w:rPr>
        <w:t>2</w:t>
      </w:r>
      <w:r w:rsidRPr="00B90BD9">
        <w:rPr>
          <w:rFonts w:ascii="Arial" w:hAnsi="Arial" w:cs="Arial"/>
          <w:b/>
          <w:bCs/>
        </w:rPr>
        <w:t>: For eMTC NTN, introduce a</w:t>
      </w:r>
      <w:r>
        <w:rPr>
          <w:rFonts w:ascii="Arial" w:hAnsi="Arial" w:cs="Arial"/>
          <w:b/>
          <w:bCs/>
        </w:rPr>
        <w:t>n optional</w:t>
      </w:r>
      <w:r w:rsidRPr="00B90BD9">
        <w:rPr>
          <w:rFonts w:ascii="Arial" w:hAnsi="Arial" w:cs="Arial"/>
          <w:b/>
          <w:bCs/>
        </w:rPr>
        <w:t xml:space="preserve">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w:t>
      </w:r>
    </w:p>
    <w:p w14:paraId="63B659D7" w14:textId="6A7D0DD2" w:rsidR="00F01141" w:rsidRDefault="00F01141" w:rsidP="00C64244">
      <w:pPr>
        <w:rPr>
          <w:rFonts w:ascii="Arial" w:hAnsi="Arial" w:cs="Arial"/>
        </w:rPr>
      </w:pPr>
    </w:p>
    <w:p w14:paraId="5A881624" w14:textId="47704D09" w:rsidR="000507FD" w:rsidRDefault="000507FD" w:rsidP="00C64244">
      <w:pPr>
        <w:rPr>
          <w:rFonts w:ascii="Arial" w:hAnsi="Arial" w:cs="Arial"/>
        </w:rPr>
      </w:pPr>
      <w:r>
        <w:rPr>
          <w:rFonts w:ascii="Arial" w:hAnsi="Arial" w:cs="Arial"/>
        </w:rPr>
        <w:t>In addition, we can elaborate more on the additional RSRP based trigger which has been introduced in NR in Rel-17 as follows:</w:t>
      </w:r>
    </w:p>
    <w:p w14:paraId="3A48400A" w14:textId="77777777" w:rsidR="000507FD" w:rsidRDefault="000507FD" w:rsidP="00C64244">
      <w:pPr>
        <w:rPr>
          <w:rFonts w:ascii="Arial" w:hAnsi="Arial" w:cs="Arial"/>
        </w:rPr>
      </w:pPr>
    </w:p>
    <w:p w14:paraId="092AB6A4" w14:textId="77777777" w:rsidR="000507FD" w:rsidRPr="00B90BD9" w:rsidRDefault="000507FD" w:rsidP="000507FD">
      <w:pPr>
        <w:rPr>
          <w:rFonts w:ascii="Arial" w:hAnsi="Arial" w:cs="Arial"/>
          <w:b/>
          <w:bCs/>
        </w:rPr>
      </w:pPr>
      <w:r>
        <w:rPr>
          <w:rFonts w:ascii="Arial" w:hAnsi="Arial" w:cs="Arial"/>
          <w:b/>
          <w:bCs/>
        </w:rPr>
        <w:t xml:space="preserve">Proposal 3: For eMTC NTN, introduce event A4 based conditional trigger (similar to </w:t>
      </w:r>
      <w:r w:rsidRPr="005E7166">
        <w:rPr>
          <w:rFonts w:ascii="Arial" w:hAnsi="Arial" w:cs="Arial"/>
          <w:b/>
          <w:bCs/>
        </w:rPr>
        <w:t>condEventA4</w:t>
      </w:r>
      <w:r>
        <w:rPr>
          <w:rFonts w:ascii="Arial" w:hAnsi="Arial" w:cs="Arial"/>
          <w:b/>
          <w:bCs/>
        </w:rPr>
        <w:t xml:space="preserve"> in NR).</w:t>
      </w:r>
    </w:p>
    <w:p w14:paraId="19A78439" w14:textId="77777777" w:rsidR="000507FD" w:rsidRDefault="000507FD" w:rsidP="00C64244">
      <w:pPr>
        <w:rPr>
          <w:rFonts w:ascii="Arial" w:hAnsi="Arial" w:cs="Arial"/>
        </w:rPr>
      </w:pPr>
    </w:p>
    <w:p w14:paraId="050D73B6" w14:textId="04F26FC4" w:rsidR="00C64244" w:rsidRDefault="00C64244" w:rsidP="00C64244">
      <w:pPr>
        <w:rPr>
          <w:rFonts w:ascii="Arial" w:hAnsi="Arial" w:cs="Arial"/>
        </w:rPr>
      </w:pPr>
      <w:r>
        <w:rPr>
          <w:rFonts w:ascii="Arial" w:hAnsi="Arial" w:cs="Arial"/>
        </w:rPr>
        <w:t>For NR, b</w:t>
      </w:r>
      <w:r w:rsidRPr="00AC3CD2">
        <w:rPr>
          <w:rFonts w:ascii="Arial" w:hAnsi="Arial" w:cs="Arial"/>
        </w:rPr>
        <w:t>oth time and location-based trigger conditions must be simultaneously configured with a measurement condition (e.g. A4) in Rel-17 NTN.</w:t>
      </w:r>
      <w:r>
        <w:rPr>
          <w:rFonts w:ascii="Arial" w:hAnsi="Arial" w:cs="Arial"/>
        </w:rPr>
        <w:t xml:space="preserve"> For eMTC, since power saving is one of the main considerations, we may need to allow only time based triggers to be enabled by the network for some devices or scenarios such that the UE does not necessarily need to fulfil e.g. RSRP threshold if configured with location and/or time based triggers only.</w:t>
      </w:r>
    </w:p>
    <w:p w14:paraId="701CBEB8" w14:textId="77777777" w:rsidR="00C64244" w:rsidRDefault="00C64244" w:rsidP="00C64244">
      <w:pPr>
        <w:rPr>
          <w:rFonts w:ascii="Arial" w:hAnsi="Arial" w:cs="Arial"/>
        </w:rPr>
      </w:pPr>
    </w:p>
    <w:p w14:paraId="19CD7C20" w14:textId="3EF959D3" w:rsidR="00C64244" w:rsidRPr="008E6000" w:rsidRDefault="00C64244" w:rsidP="00C64244">
      <w:pPr>
        <w:rPr>
          <w:rFonts w:ascii="Arial" w:hAnsi="Arial" w:cs="Arial"/>
          <w:b/>
          <w:bCs/>
        </w:rPr>
      </w:pPr>
      <w:r w:rsidRPr="008E6000">
        <w:rPr>
          <w:rFonts w:ascii="Arial" w:hAnsi="Arial" w:cs="Arial"/>
          <w:b/>
          <w:bCs/>
        </w:rPr>
        <w:t xml:space="preserve">Proposal </w:t>
      </w:r>
      <w:r w:rsidR="000507FD">
        <w:rPr>
          <w:rFonts w:ascii="Arial" w:hAnsi="Arial" w:cs="Arial"/>
          <w:b/>
          <w:bCs/>
        </w:rPr>
        <w:t>4</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measurement condition)</w:t>
      </w:r>
      <w:r w:rsidRPr="008E6000">
        <w:rPr>
          <w:rFonts w:ascii="Arial" w:hAnsi="Arial" w:cs="Arial"/>
          <w:b/>
          <w:bCs/>
        </w:rPr>
        <w:t xml:space="preserve"> for eMTC NTN.</w:t>
      </w:r>
    </w:p>
    <w:p w14:paraId="784BA6A1" w14:textId="77777777" w:rsidR="007971E0" w:rsidRDefault="007971E0" w:rsidP="007971E0"/>
    <w:p w14:paraId="02E58183" w14:textId="5F7CD09B" w:rsidR="007971E0" w:rsidRPr="00AC3CD2" w:rsidRDefault="007971E0" w:rsidP="007971E0">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IDLE/INACTIVE enhancements</w:t>
      </w:r>
    </w:p>
    <w:p w14:paraId="39A62BB3" w14:textId="77777777" w:rsidR="007971E0" w:rsidRDefault="007971E0" w:rsidP="007971E0">
      <w:pPr>
        <w:rPr>
          <w:rFonts w:ascii="Arial" w:hAnsi="Arial" w:cs="Arial"/>
        </w:rPr>
      </w:pPr>
    </w:p>
    <w:p w14:paraId="385F370F" w14:textId="7EF7C3E6" w:rsidR="007971E0" w:rsidRPr="00AB3F45" w:rsidRDefault="006C4CA0" w:rsidP="007971E0">
      <w:pPr>
        <w:pStyle w:val="Heading2"/>
      </w:pPr>
      <w:r>
        <w:rPr>
          <w:rStyle w:val="Emphasis"/>
          <w:i w:val="0"/>
          <w:iCs/>
        </w:rPr>
        <w:t>3</w:t>
      </w:r>
      <w:r w:rsidR="007971E0" w:rsidRPr="00AB3F45">
        <w:rPr>
          <w:rStyle w:val="Emphasis"/>
          <w:i w:val="0"/>
          <w:iCs/>
        </w:rPr>
        <w:t>.1</w:t>
      </w:r>
      <w:r w:rsidR="007971E0" w:rsidRPr="00AB3F45">
        <w:rPr>
          <w:rStyle w:val="Emphasis"/>
          <w:i w:val="0"/>
          <w:iCs/>
        </w:rPr>
        <w:tab/>
      </w:r>
      <w:r w:rsidR="007971E0" w:rsidRPr="00AB3F45">
        <w:t>Background</w:t>
      </w:r>
    </w:p>
    <w:p w14:paraId="0B642C8D" w14:textId="3AE66EF4" w:rsidR="00357BA9" w:rsidRDefault="00357BA9" w:rsidP="00357BA9">
      <w:pPr>
        <w:rPr>
          <w:rFonts w:ascii="Arial" w:hAnsi="Arial" w:cs="Arial"/>
        </w:rPr>
      </w:pPr>
      <w:r>
        <w:rPr>
          <w:rFonts w:ascii="Arial" w:hAnsi="Arial" w:cs="Arial"/>
        </w:rPr>
        <w:lastRenderedPageBreak/>
        <w:t xml:space="preserve">NR </w:t>
      </w:r>
      <w:r w:rsidRPr="00357BA9">
        <w:rPr>
          <w:rFonts w:ascii="Arial" w:hAnsi="Arial" w:cs="Arial"/>
        </w:rPr>
        <w:t xml:space="preserve">Rel-17 enhancements to IDLE/INACTIVE cell reselection focus </w:t>
      </w:r>
      <w:r w:rsidR="0006781B" w:rsidRPr="00357BA9">
        <w:rPr>
          <w:rFonts w:ascii="Arial" w:hAnsi="Arial" w:cs="Arial"/>
        </w:rPr>
        <w:t>primarily</w:t>
      </w:r>
      <w:r w:rsidRPr="00357BA9">
        <w:rPr>
          <w:rFonts w:ascii="Arial" w:hAnsi="Arial" w:cs="Arial"/>
        </w:rPr>
        <w:t xml:space="preserve"> on new measurement rules. Two key enhancements have been specified based on UE distance from a cell reference point, and on the </w:t>
      </w:r>
      <w:r w:rsidRPr="00357BA9">
        <w:rPr>
          <w:rFonts w:ascii="Arial" w:hAnsi="Arial" w:cs="Arial"/>
          <w:iCs/>
          <w:lang w:eastAsia="en-GB"/>
        </w:rPr>
        <w:t>time</w:t>
      </w:r>
      <w:r w:rsidRPr="00357BA9">
        <w:rPr>
          <w:rFonts w:ascii="Arial" w:hAnsi="Arial" w:cs="Arial"/>
        </w:rPr>
        <w:t xml:space="preserve"> a quasi-Earth cell will stop serving the current area, indicated by </w:t>
      </w:r>
      <w:r w:rsidRPr="00357BA9">
        <w:rPr>
          <w:rFonts w:ascii="Arial" w:hAnsi="Arial" w:cs="Arial"/>
          <w:i/>
          <w:iCs/>
        </w:rPr>
        <w:t>t-Service</w:t>
      </w:r>
      <w:r w:rsidRPr="00357BA9">
        <w:rPr>
          <w:rFonts w:ascii="Arial" w:hAnsi="Arial" w:cs="Arial"/>
        </w:rPr>
        <w:t xml:space="preserve">. The cell reference point, </w:t>
      </w:r>
      <w:r w:rsidRPr="00357BA9">
        <w:rPr>
          <w:rFonts w:ascii="Arial" w:hAnsi="Arial" w:cs="Arial"/>
          <w:i/>
          <w:iCs/>
        </w:rPr>
        <w:t>t-Service</w:t>
      </w:r>
      <w:r w:rsidRPr="00357BA9">
        <w:rPr>
          <w:rFonts w:ascii="Arial" w:hAnsi="Arial" w:cs="Arial"/>
        </w:rPr>
        <w:t xml:space="preserve"> and </w:t>
      </w:r>
      <w:r w:rsidRPr="00357BA9">
        <w:rPr>
          <w:rFonts w:ascii="Arial" w:hAnsi="Arial" w:cs="Arial"/>
          <w:i/>
          <w:iCs/>
        </w:rPr>
        <w:t>distanceThresh</w:t>
      </w:r>
      <w:r w:rsidRPr="00357BA9">
        <w:rPr>
          <w:rFonts w:ascii="Arial" w:hAnsi="Arial" w:cs="Arial"/>
        </w:rPr>
        <w:t xml:space="preserve"> (the parameter used to evaluate the distance condition) are optionally broadcast in SIB19, a new system information block which carriers NTN-specific information.</w:t>
      </w:r>
    </w:p>
    <w:p w14:paraId="2F81F973" w14:textId="77777777" w:rsidR="00357BA9" w:rsidRPr="00357BA9" w:rsidRDefault="00357BA9" w:rsidP="00357BA9">
      <w:pPr>
        <w:rPr>
          <w:rFonts w:ascii="Arial" w:hAnsi="Arial" w:cs="Arial"/>
        </w:rPr>
      </w:pPr>
    </w:p>
    <w:p w14:paraId="1D0DE096" w14:textId="77777777" w:rsidR="00357BA9" w:rsidRPr="00357BA9" w:rsidRDefault="00357BA9" w:rsidP="00357BA9">
      <w:pPr>
        <w:rPr>
          <w:rFonts w:ascii="Arial" w:hAnsi="Arial" w:cs="Arial"/>
        </w:rPr>
      </w:pPr>
      <w:r w:rsidRPr="00357BA9">
        <w:rPr>
          <w:rFonts w:ascii="Arial" w:hAnsi="Arial" w:cs="Arial"/>
          <w:lang w:val="en-US"/>
        </w:rPr>
        <w:t xml:space="preserve">The location-based enhancement enables measurement relaxation when a UE is located within a threshold </w:t>
      </w:r>
      <w:r w:rsidRPr="00357BA9">
        <w:rPr>
          <w:rFonts w:ascii="Arial" w:hAnsi="Arial" w:cs="Arial"/>
          <w:i/>
          <w:iCs/>
        </w:rPr>
        <w:t>distanceThresh</w:t>
      </w:r>
      <w:r w:rsidRPr="00357BA9">
        <w:rPr>
          <w:rFonts w:ascii="Arial" w:hAnsi="Arial" w:cs="Arial"/>
        </w:rPr>
        <w:t xml:space="preserve"> from a cell reference point (usually the cell center). A UE may not perform intra-frequency measurements, measurements of NR inter-frequency cells of equal or lower priority, or inter-RAT frequency cells of lower priority if all following conditions are satisfied:</w:t>
      </w:r>
    </w:p>
    <w:p w14:paraId="386D9948" w14:textId="77777777" w:rsidR="00357BA9" w:rsidRPr="00357BA9" w:rsidRDefault="00357BA9" w:rsidP="00357BA9">
      <w:pPr>
        <w:pStyle w:val="ListParagraph"/>
        <w:numPr>
          <w:ilvl w:val="0"/>
          <w:numId w:val="24"/>
        </w:numPr>
        <w:spacing w:after="160" w:line="259" w:lineRule="auto"/>
        <w:ind w:left="360"/>
        <w:contextualSpacing/>
        <w:rPr>
          <w:rFonts w:ascii="Arial" w:eastAsia="Yu Mincho" w:hAnsi="Arial" w:cs="Arial"/>
          <w:sz w:val="20"/>
          <w:szCs w:val="20"/>
          <w:vertAlign w:val="subscript"/>
          <w:lang w:eastAsia="ja-JP"/>
        </w:rPr>
      </w:pPr>
      <w:r w:rsidRPr="00357BA9">
        <w:rPr>
          <w:rFonts w:ascii="Arial" w:hAnsi="Arial" w:cs="Arial"/>
          <w:sz w:val="20"/>
          <w:szCs w:val="20"/>
        </w:rPr>
        <w:t xml:space="preserve">The </w:t>
      </w:r>
      <w:r w:rsidRPr="00357BA9">
        <w:rPr>
          <w:rFonts w:ascii="Arial" w:eastAsia="Yu Mincho" w:hAnsi="Arial" w:cs="Arial"/>
          <w:sz w:val="20"/>
          <w:szCs w:val="20"/>
          <w:lang w:eastAsia="ja-JP"/>
        </w:rPr>
        <w:t>serving cell fulfils Srxlev</w:t>
      </w:r>
      <w:r w:rsidRPr="00357BA9">
        <w:rPr>
          <w:rFonts w:ascii="Arial" w:eastAsia="Yu Mincho" w:hAnsi="Arial" w:cs="Arial"/>
          <w:sz w:val="20"/>
          <w:szCs w:val="20"/>
          <w:vertAlign w:val="subscript"/>
          <w:lang w:eastAsia="ja-JP"/>
        </w:rPr>
        <w:t xml:space="preserve"> </w:t>
      </w:r>
      <w:r w:rsidRPr="00357BA9">
        <w:rPr>
          <w:rFonts w:ascii="Arial" w:eastAsia="Yu Mincho" w:hAnsi="Arial" w:cs="Arial"/>
          <w:sz w:val="20"/>
          <w:szCs w:val="20"/>
          <w:lang w:eastAsia="ja-JP"/>
        </w:rPr>
        <w:t>&gt; S</w:t>
      </w:r>
      <w:r w:rsidRPr="00357BA9">
        <w:rPr>
          <w:rFonts w:ascii="Arial" w:eastAsia="Yu Mincho" w:hAnsi="Arial" w:cs="Arial"/>
          <w:sz w:val="20"/>
          <w:szCs w:val="20"/>
          <w:vertAlign w:val="subscript"/>
          <w:lang w:eastAsia="ja-JP"/>
        </w:rPr>
        <w:t>IntraSearchP</w:t>
      </w:r>
      <w:r w:rsidRPr="00357BA9">
        <w:rPr>
          <w:rFonts w:ascii="Arial" w:eastAsia="Yu Mincho" w:hAnsi="Arial" w:cs="Arial"/>
          <w:sz w:val="20"/>
          <w:szCs w:val="20"/>
          <w:lang w:eastAsia="ja-JP"/>
        </w:rPr>
        <w:t xml:space="preserve"> and Squal &gt; S</w:t>
      </w:r>
      <w:r w:rsidRPr="00357BA9">
        <w:rPr>
          <w:rFonts w:ascii="Arial" w:eastAsia="Yu Mincho" w:hAnsi="Arial" w:cs="Arial"/>
          <w:sz w:val="20"/>
          <w:szCs w:val="20"/>
          <w:vertAlign w:val="subscript"/>
          <w:lang w:eastAsia="ja-JP"/>
        </w:rPr>
        <w:t>IntraSearchQ</w:t>
      </w:r>
      <w:r w:rsidRPr="00357BA9">
        <w:rPr>
          <w:rFonts w:ascii="Arial" w:eastAsia="Yu Mincho" w:hAnsi="Arial" w:cs="Arial"/>
          <w:sz w:val="20"/>
          <w:szCs w:val="20"/>
          <w:lang w:eastAsia="ja-JP"/>
        </w:rPr>
        <w:t>;</w:t>
      </w:r>
      <w:r w:rsidRPr="00357BA9">
        <w:rPr>
          <w:rFonts w:ascii="Arial" w:eastAsia="Yu Mincho" w:hAnsi="Arial" w:cs="Arial"/>
          <w:sz w:val="20"/>
          <w:szCs w:val="20"/>
          <w:vertAlign w:val="subscript"/>
          <w:lang w:eastAsia="ja-JP"/>
        </w:rPr>
        <w:t xml:space="preserve"> </w:t>
      </w:r>
    </w:p>
    <w:p w14:paraId="5F9E413C" w14:textId="77777777" w:rsidR="00357BA9" w:rsidRPr="00357BA9" w:rsidRDefault="00357BA9" w:rsidP="00357BA9">
      <w:pPr>
        <w:pStyle w:val="ListParagraph"/>
        <w:numPr>
          <w:ilvl w:val="0"/>
          <w:numId w:val="24"/>
        </w:numPr>
        <w:spacing w:after="160" w:line="259" w:lineRule="auto"/>
        <w:ind w:left="360"/>
        <w:contextualSpacing/>
        <w:rPr>
          <w:rFonts w:ascii="Arial" w:hAnsi="Arial" w:cs="Arial"/>
          <w:sz w:val="20"/>
          <w:szCs w:val="20"/>
        </w:rPr>
      </w:pPr>
      <w:r w:rsidRPr="00357BA9">
        <w:rPr>
          <w:rFonts w:ascii="Arial" w:hAnsi="Arial" w:cs="Arial"/>
          <w:sz w:val="20"/>
          <w:szCs w:val="20"/>
        </w:rPr>
        <w:t xml:space="preserve">The UE has valid UE location information (it’s up to UE implementation to have available UE location information); and </w:t>
      </w:r>
    </w:p>
    <w:p w14:paraId="55399215" w14:textId="77777777" w:rsidR="00357BA9" w:rsidRPr="00357BA9" w:rsidRDefault="00357BA9" w:rsidP="00357BA9">
      <w:pPr>
        <w:pStyle w:val="ListParagraph"/>
        <w:numPr>
          <w:ilvl w:val="0"/>
          <w:numId w:val="24"/>
        </w:numPr>
        <w:spacing w:after="160" w:line="259" w:lineRule="auto"/>
        <w:ind w:left="360"/>
        <w:contextualSpacing/>
        <w:rPr>
          <w:rFonts w:ascii="Arial" w:hAnsi="Arial" w:cs="Arial"/>
          <w:sz w:val="20"/>
          <w:szCs w:val="20"/>
        </w:rPr>
      </w:pPr>
      <w:r w:rsidRPr="00357BA9">
        <w:rPr>
          <w:rFonts w:ascii="Arial" w:hAnsi="Arial" w:cs="Arial"/>
          <w:sz w:val="20"/>
          <w:szCs w:val="20"/>
        </w:rPr>
        <w:t xml:space="preserve">the distance between the UE and the serving cel reference location is shorter than </w:t>
      </w:r>
      <w:r w:rsidRPr="00357BA9">
        <w:rPr>
          <w:rFonts w:ascii="Arial" w:hAnsi="Arial" w:cs="Arial"/>
          <w:i/>
          <w:iCs/>
          <w:sz w:val="20"/>
          <w:szCs w:val="20"/>
        </w:rPr>
        <w:t>distanceThresh</w:t>
      </w:r>
      <w:r w:rsidRPr="00357BA9">
        <w:rPr>
          <w:rFonts w:ascii="Arial" w:hAnsi="Arial" w:cs="Arial"/>
          <w:sz w:val="20"/>
          <w:szCs w:val="20"/>
        </w:rPr>
        <w:t xml:space="preserve">. </w:t>
      </w:r>
    </w:p>
    <w:p w14:paraId="1CA61010" w14:textId="284B7C88" w:rsidR="00357BA9" w:rsidRDefault="00357BA9" w:rsidP="00357BA9">
      <w:pPr>
        <w:rPr>
          <w:rFonts w:ascii="Arial" w:eastAsia="SimSun" w:hAnsi="Arial" w:cs="Arial"/>
        </w:rPr>
      </w:pPr>
      <w:r w:rsidRPr="00357BA9">
        <w:rPr>
          <w:rFonts w:ascii="Arial" w:hAnsi="Arial" w:cs="Arial"/>
        </w:rPr>
        <w:t xml:space="preserve">The time-based enhancement requires a UE to perform cell re-selection measurements in a quasi-earth fixed cell at some time prior to </w:t>
      </w:r>
      <w:r w:rsidRPr="00357BA9">
        <w:rPr>
          <w:rFonts w:ascii="Arial" w:hAnsi="Arial" w:cs="Arial"/>
          <w:i/>
          <w:iCs/>
        </w:rPr>
        <w:t>t-Service</w:t>
      </w:r>
      <w:r w:rsidRPr="00357BA9">
        <w:rPr>
          <w:rFonts w:ascii="Arial" w:hAnsi="Arial" w:cs="Arial"/>
        </w:rPr>
        <w:t xml:space="preserve"> (the exact timing is up to UE implementation). The UE shall perform intra-frequency, inter-frequency, or inter-RAT measurements before </w:t>
      </w:r>
      <w:r w:rsidRPr="00357BA9">
        <w:rPr>
          <w:rFonts w:ascii="Arial" w:hAnsi="Arial" w:cs="Arial"/>
          <w:i/>
          <w:iCs/>
        </w:rPr>
        <w:t>t-Service</w:t>
      </w:r>
      <w:r w:rsidRPr="00357BA9">
        <w:rPr>
          <w:rFonts w:ascii="Arial" w:hAnsi="Arial" w:cs="Arial"/>
        </w:rPr>
        <w:t xml:space="preserve"> regardless of the distance between the UE and serving cell measurement or whether the serving cell fulfils </w:t>
      </w:r>
      <w:r w:rsidRPr="00357BA9">
        <w:rPr>
          <w:rFonts w:ascii="Arial" w:eastAsia="SimSun" w:hAnsi="Arial" w:cs="Arial"/>
        </w:rPr>
        <w:t>Srxlev &gt; S</w:t>
      </w:r>
      <w:r w:rsidRPr="00357BA9">
        <w:rPr>
          <w:rFonts w:ascii="Arial" w:eastAsia="SimSun" w:hAnsi="Arial" w:cs="Arial"/>
          <w:vertAlign w:val="subscript"/>
        </w:rPr>
        <w:t>IntraSearchP</w:t>
      </w:r>
      <w:r w:rsidRPr="00357BA9">
        <w:rPr>
          <w:rFonts w:ascii="Arial" w:eastAsia="SimSun" w:hAnsi="Arial" w:cs="Arial"/>
        </w:rPr>
        <w:t xml:space="preserve"> and Squal &gt; S</w:t>
      </w:r>
      <w:r w:rsidRPr="00357BA9">
        <w:rPr>
          <w:rFonts w:ascii="Arial" w:eastAsia="SimSun" w:hAnsi="Arial" w:cs="Arial"/>
          <w:vertAlign w:val="subscript"/>
        </w:rPr>
        <w:t>IntraSearchQ</w:t>
      </w:r>
      <w:r w:rsidRPr="00357BA9">
        <w:rPr>
          <w:rFonts w:ascii="Arial" w:eastAsia="SimSun" w:hAnsi="Arial" w:cs="Arial"/>
        </w:rPr>
        <w:t>, or Srxlev &gt; S</w:t>
      </w:r>
      <w:r w:rsidRPr="00357BA9">
        <w:rPr>
          <w:rFonts w:ascii="Arial" w:eastAsia="SimSun" w:hAnsi="Arial" w:cs="Arial"/>
          <w:vertAlign w:val="subscript"/>
        </w:rPr>
        <w:t>nonIntraSearchP</w:t>
      </w:r>
      <w:r w:rsidRPr="00357BA9">
        <w:rPr>
          <w:rFonts w:ascii="Arial" w:eastAsia="SimSun" w:hAnsi="Arial" w:cs="Arial"/>
        </w:rPr>
        <w:t xml:space="preserve"> and Squal &gt; S</w:t>
      </w:r>
      <w:r w:rsidRPr="00357BA9">
        <w:rPr>
          <w:rFonts w:ascii="Arial" w:eastAsia="SimSun" w:hAnsi="Arial" w:cs="Arial"/>
          <w:vertAlign w:val="subscript"/>
        </w:rPr>
        <w:t>nonIntraSearchQ</w:t>
      </w:r>
      <w:r w:rsidRPr="00357BA9">
        <w:rPr>
          <w:rFonts w:ascii="Arial" w:eastAsia="SimSun" w:hAnsi="Arial" w:cs="Arial"/>
        </w:rPr>
        <w:t xml:space="preserve">. </w:t>
      </w:r>
    </w:p>
    <w:p w14:paraId="72F53961" w14:textId="77777777" w:rsidR="00357BA9" w:rsidRPr="00357BA9" w:rsidRDefault="00357BA9" w:rsidP="00357BA9">
      <w:pPr>
        <w:rPr>
          <w:rFonts w:ascii="Arial" w:eastAsia="SimSun" w:hAnsi="Arial" w:cs="Arial"/>
        </w:rPr>
      </w:pPr>
    </w:p>
    <w:p w14:paraId="29C306E3" w14:textId="07F924EB" w:rsidR="00357BA9" w:rsidRPr="00357BA9" w:rsidRDefault="00357BA9" w:rsidP="00357BA9">
      <w:pPr>
        <w:rPr>
          <w:rFonts w:ascii="Arial" w:hAnsi="Arial" w:cs="Arial"/>
        </w:rPr>
      </w:pPr>
      <w:r w:rsidRPr="00357BA9">
        <w:rPr>
          <w:rFonts w:ascii="Arial" w:eastAsia="SimSun" w:hAnsi="Arial" w:cs="Arial"/>
        </w:rPr>
        <w:t>These new distance and time-based measurement rules do not affect measurement of higher-priority NR inter-frequency or inter-RAT frequenc</w:t>
      </w:r>
      <w:r>
        <w:rPr>
          <w:rFonts w:ascii="Arial" w:eastAsia="SimSun" w:hAnsi="Arial" w:cs="Arial"/>
        </w:rPr>
        <w:t>ies</w:t>
      </w:r>
      <w:r w:rsidRPr="00357BA9">
        <w:rPr>
          <w:rFonts w:ascii="Arial" w:eastAsia="SimSun" w:hAnsi="Arial" w:cs="Arial"/>
        </w:rPr>
        <w:t>. The UE shall perform these measurements according to [2] regardless of remaining service time or distance from the cell reference point.</w:t>
      </w:r>
    </w:p>
    <w:p w14:paraId="0475CE3B" w14:textId="02233D01" w:rsidR="007971E0" w:rsidRDefault="006C4CA0" w:rsidP="007971E0">
      <w:pPr>
        <w:pStyle w:val="Heading2"/>
      </w:pPr>
      <w:r>
        <w:t>3</w:t>
      </w:r>
      <w:r w:rsidR="007971E0">
        <w:t>.2</w:t>
      </w:r>
      <w:r w:rsidR="007971E0">
        <w:tab/>
        <w:t xml:space="preserve"> Discussion</w:t>
      </w:r>
    </w:p>
    <w:p w14:paraId="7A4F5248" w14:textId="77777777" w:rsidR="008E6000" w:rsidRPr="00AC3CD2" w:rsidRDefault="008E6000" w:rsidP="00E755BC">
      <w:pPr>
        <w:rPr>
          <w:rFonts w:ascii="Arial" w:hAnsi="Arial" w:cs="Arial"/>
        </w:rPr>
      </w:pPr>
      <w:bookmarkStart w:id="0" w:name="_Hlk110948367"/>
    </w:p>
    <w:p w14:paraId="69724FC6" w14:textId="77777777" w:rsidR="0027350B" w:rsidRDefault="00C64244" w:rsidP="00E229AC">
      <w:pPr>
        <w:rPr>
          <w:rFonts w:ascii="Arial" w:hAnsi="Arial" w:cs="Arial"/>
        </w:rPr>
      </w:pPr>
      <w:r>
        <w:rPr>
          <w:rFonts w:ascii="Arial" w:hAnsi="Arial" w:cs="Arial"/>
        </w:rPr>
        <w:t>T</w:t>
      </w:r>
      <w:r w:rsidR="00186A83">
        <w:rPr>
          <w:rFonts w:ascii="Arial" w:hAnsi="Arial" w:cs="Arial"/>
        </w:rPr>
        <w:t xml:space="preserve">here was no </w:t>
      </w:r>
      <w:r w:rsidR="00E947A9">
        <w:rPr>
          <w:rFonts w:ascii="Arial" w:hAnsi="Arial" w:cs="Arial"/>
        </w:rPr>
        <w:t>location-based</w:t>
      </w:r>
      <w:r w:rsidR="00186A83">
        <w:rPr>
          <w:rFonts w:ascii="Arial" w:hAnsi="Arial" w:cs="Arial"/>
        </w:rPr>
        <w:t xml:space="preserve"> cell reselection criteria introduced in R17 for IoT-NTN, for similar reasons</w:t>
      </w:r>
      <w:r w:rsidR="00F01141">
        <w:rPr>
          <w:rFonts w:ascii="Arial" w:hAnsi="Arial" w:cs="Arial"/>
        </w:rPr>
        <w:t xml:space="preserve"> as discussed in the previous section</w:t>
      </w:r>
      <w:r w:rsidR="00186A83">
        <w:rPr>
          <w:rFonts w:ascii="Arial" w:hAnsi="Arial" w:cs="Arial"/>
        </w:rPr>
        <w:t xml:space="preserve">. </w:t>
      </w:r>
      <w:r>
        <w:rPr>
          <w:rFonts w:ascii="Arial" w:hAnsi="Arial" w:cs="Arial"/>
        </w:rPr>
        <w:t xml:space="preserve">It was also noted in the previous meeting that it is not a requirement for eMTC UEs to support simultaneous GNSS and LTE operation, </w:t>
      </w:r>
      <w:r w:rsidR="00F01141">
        <w:rPr>
          <w:rFonts w:ascii="Arial" w:hAnsi="Arial" w:cs="Arial"/>
        </w:rPr>
        <w:t xml:space="preserve">and power consumption for IoT devices needs to be </w:t>
      </w:r>
      <w:r w:rsidR="0027350B">
        <w:rPr>
          <w:rFonts w:ascii="Arial" w:hAnsi="Arial" w:cs="Arial"/>
        </w:rPr>
        <w:t xml:space="preserve">considered, </w:t>
      </w:r>
      <w:r>
        <w:rPr>
          <w:rFonts w:ascii="Arial" w:hAnsi="Arial" w:cs="Arial"/>
        </w:rPr>
        <w:t>however this does not mean it is not possible</w:t>
      </w:r>
      <w:r w:rsidR="0027350B">
        <w:rPr>
          <w:rFonts w:ascii="Arial" w:hAnsi="Arial" w:cs="Arial"/>
        </w:rPr>
        <w:t xml:space="preserve"> for some devices</w:t>
      </w:r>
      <w:r>
        <w:rPr>
          <w:rFonts w:ascii="Arial" w:hAnsi="Arial" w:cs="Arial"/>
        </w:rPr>
        <w:t xml:space="preserve">. </w:t>
      </w:r>
    </w:p>
    <w:p w14:paraId="6B9E3604" w14:textId="77777777" w:rsidR="0027350B" w:rsidRDefault="0027350B" w:rsidP="00E229AC">
      <w:pPr>
        <w:rPr>
          <w:rFonts w:ascii="Arial" w:hAnsi="Arial" w:cs="Arial"/>
        </w:rPr>
      </w:pPr>
    </w:p>
    <w:p w14:paraId="2CD3D8A4" w14:textId="353B65A7" w:rsidR="00B1497C" w:rsidRDefault="00C64244" w:rsidP="00E229AC">
      <w:pPr>
        <w:rPr>
          <w:rFonts w:ascii="Arial" w:hAnsi="Arial" w:cs="Arial"/>
        </w:rPr>
      </w:pPr>
      <w:r>
        <w:rPr>
          <w:rFonts w:ascii="Arial" w:hAnsi="Arial" w:cs="Arial"/>
        </w:rPr>
        <w:t>For UEs capable of simultaneous GNSS and LTE it should also be possible to also support location based CHO. N</w:t>
      </w:r>
      <w:r w:rsidR="00937DBB">
        <w:rPr>
          <w:rFonts w:ascii="Arial" w:hAnsi="Arial" w:cs="Arial"/>
        </w:rPr>
        <w:t xml:space="preserve">ot all devices have the same </w:t>
      </w:r>
      <w:r>
        <w:rPr>
          <w:rFonts w:ascii="Arial" w:hAnsi="Arial" w:cs="Arial"/>
        </w:rPr>
        <w:t xml:space="preserve">battery </w:t>
      </w:r>
      <w:r w:rsidR="0006781B">
        <w:rPr>
          <w:rFonts w:ascii="Arial" w:hAnsi="Arial" w:cs="Arial"/>
        </w:rPr>
        <w:t>requirements,</w:t>
      </w:r>
      <w:r w:rsidR="00937DBB">
        <w:rPr>
          <w:rFonts w:ascii="Arial" w:hAnsi="Arial" w:cs="Arial"/>
        </w:rPr>
        <w:t xml:space="preserve"> and this could be considered as an optional feature in R18.</w:t>
      </w:r>
    </w:p>
    <w:p w14:paraId="3570C060" w14:textId="3EB5FFA8" w:rsidR="00937DBB" w:rsidRDefault="00937DBB" w:rsidP="00E229AC">
      <w:pPr>
        <w:rPr>
          <w:rFonts w:ascii="Arial" w:hAnsi="Arial" w:cs="Arial"/>
        </w:rPr>
      </w:pPr>
    </w:p>
    <w:p w14:paraId="671DB2EF" w14:textId="20D3D292" w:rsidR="00937DBB" w:rsidRPr="00775EE0" w:rsidRDefault="00937DBB" w:rsidP="00E229AC">
      <w:pPr>
        <w:rPr>
          <w:rFonts w:ascii="Arial" w:hAnsi="Arial" w:cs="Arial"/>
          <w:b/>
          <w:bCs/>
        </w:rPr>
      </w:pPr>
      <w:r w:rsidRPr="00775EE0">
        <w:rPr>
          <w:rFonts w:ascii="Arial" w:hAnsi="Arial" w:cs="Arial"/>
          <w:b/>
          <w:bCs/>
        </w:rPr>
        <w:t xml:space="preserve">Proposal </w:t>
      </w:r>
      <w:r w:rsidR="0024449A">
        <w:rPr>
          <w:rFonts w:ascii="Arial" w:hAnsi="Arial" w:cs="Arial"/>
          <w:b/>
          <w:bCs/>
        </w:rPr>
        <w:t>5</w:t>
      </w:r>
      <w:r w:rsidRPr="00775EE0">
        <w:rPr>
          <w:rFonts w:ascii="Arial" w:hAnsi="Arial" w:cs="Arial"/>
          <w:b/>
          <w:bCs/>
        </w:rPr>
        <w:t>: Introduce</w:t>
      </w:r>
      <w:r w:rsidR="00775EE0" w:rsidRPr="00775EE0">
        <w:rPr>
          <w:rFonts w:ascii="Arial" w:hAnsi="Arial" w:cs="Arial"/>
          <w:b/>
          <w:bCs/>
        </w:rPr>
        <w:t xml:space="preserve"> optional distance</w:t>
      </w:r>
      <w:r w:rsidR="00D5457B">
        <w:rPr>
          <w:rFonts w:ascii="Arial" w:hAnsi="Arial" w:cs="Arial"/>
          <w:b/>
          <w:bCs/>
        </w:rPr>
        <w:t>-</w:t>
      </w:r>
      <w:r w:rsidR="00775EE0" w:rsidRPr="00775EE0">
        <w:rPr>
          <w:rFonts w:ascii="Arial" w:hAnsi="Arial" w:cs="Arial"/>
          <w:b/>
          <w:bCs/>
        </w:rPr>
        <w:t xml:space="preserve">based relaxation for RRC_IDLE based on </w:t>
      </w:r>
      <w:r w:rsidRPr="00775EE0">
        <w:rPr>
          <w:rFonts w:ascii="Arial" w:hAnsi="Arial" w:cs="Arial"/>
          <w:b/>
          <w:bCs/>
          <w:i/>
          <w:iCs/>
        </w:rPr>
        <w:t>distanceThresh</w:t>
      </w:r>
      <w:r w:rsidR="00775EE0" w:rsidRPr="00775EE0">
        <w:rPr>
          <w:rFonts w:ascii="Arial" w:hAnsi="Arial" w:cs="Arial"/>
          <w:b/>
          <w:bCs/>
          <w:i/>
          <w:iCs/>
        </w:rPr>
        <w:t xml:space="preserve"> </w:t>
      </w:r>
      <w:r w:rsidR="00775EE0" w:rsidRPr="00775EE0">
        <w:rPr>
          <w:rFonts w:ascii="Arial" w:hAnsi="Arial" w:cs="Arial"/>
          <w:b/>
          <w:bCs/>
        </w:rPr>
        <w:t xml:space="preserve">in NR.  </w:t>
      </w:r>
    </w:p>
    <w:bookmarkEnd w:id="0"/>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0BFA1E94"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775EE0">
        <w:rPr>
          <w:rFonts w:ascii="Arial" w:hAnsi="Arial" w:cs="Arial"/>
          <w:lang w:val="en-US"/>
        </w:rPr>
        <w:t>mobility enhancements for R18 IoT-NTN and have the following proposals</w:t>
      </w:r>
      <w:r w:rsidRPr="00AC3CD2">
        <w:rPr>
          <w:rFonts w:ascii="Arial" w:hAnsi="Arial" w:cs="Arial"/>
          <w:lang w:val="en-US"/>
        </w:rPr>
        <w:t>:</w:t>
      </w:r>
    </w:p>
    <w:p w14:paraId="54608BDE" w14:textId="77777777" w:rsidR="00775EE0" w:rsidRPr="00AC3CD2" w:rsidRDefault="00775EE0" w:rsidP="00551638">
      <w:pPr>
        <w:jc w:val="both"/>
        <w:rPr>
          <w:rFonts w:ascii="Arial" w:hAnsi="Arial" w:cs="Arial"/>
          <w:lang w:val="en-US"/>
        </w:rPr>
      </w:pPr>
    </w:p>
    <w:p w14:paraId="6FA4717B" w14:textId="77777777" w:rsidR="00F01141" w:rsidRPr="00AC3CD2" w:rsidRDefault="00F01141" w:rsidP="00AB1BD1">
      <w:pPr>
        <w:rPr>
          <w:rFonts w:ascii="Arial" w:hAnsi="Arial" w:cs="Arial"/>
          <w:b/>
          <w:bCs/>
        </w:rPr>
      </w:pPr>
    </w:p>
    <w:p w14:paraId="54605383" w14:textId="1228496E" w:rsidR="00B14E1E" w:rsidRDefault="00B14E1E" w:rsidP="00B14E1E">
      <w:pPr>
        <w:rPr>
          <w:rFonts w:ascii="Arial" w:hAnsi="Arial" w:cs="Arial"/>
          <w:u w:val="single"/>
        </w:rPr>
      </w:pPr>
      <w:r w:rsidRPr="00B14E1E">
        <w:rPr>
          <w:rFonts w:ascii="Arial" w:hAnsi="Arial" w:cs="Arial"/>
          <w:u w:val="single"/>
        </w:rPr>
        <w:t xml:space="preserve">For </w:t>
      </w:r>
      <w:r w:rsidR="002D2783">
        <w:rPr>
          <w:rFonts w:ascii="Arial" w:hAnsi="Arial" w:cs="Arial"/>
          <w:u w:val="single"/>
        </w:rPr>
        <w:t>conditional reconfiguration triggers for eMTC</w:t>
      </w:r>
      <w:r w:rsidRPr="00B14E1E">
        <w:rPr>
          <w:rFonts w:ascii="Arial" w:hAnsi="Arial" w:cs="Arial"/>
          <w:u w:val="single"/>
        </w:rPr>
        <w:t>:</w:t>
      </w:r>
    </w:p>
    <w:p w14:paraId="126783E3" w14:textId="77777777" w:rsidR="00B14E1E" w:rsidRPr="00B14E1E" w:rsidRDefault="00B14E1E" w:rsidP="00B14E1E">
      <w:pPr>
        <w:rPr>
          <w:rFonts w:ascii="Arial" w:hAnsi="Arial" w:cs="Arial"/>
          <w:u w:val="single"/>
        </w:rPr>
      </w:pPr>
    </w:p>
    <w:p w14:paraId="748394D9" w14:textId="7D78A399" w:rsidR="00F01141" w:rsidRPr="00B90BD9" w:rsidRDefault="00F01141" w:rsidP="00F01141">
      <w:pPr>
        <w:rPr>
          <w:rFonts w:ascii="Arial" w:hAnsi="Arial" w:cs="Arial"/>
          <w:b/>
          <w:bCs/>
        </w:rPr>
      </w:pPr>
      <w:r w:rsidRPr="00B90BD9">
        <w:rPr>
          <w:rFonts w:ascii="Arial" w:hAnsi="Arial" w:cs="Arial"/>
          <w:b/>
          <w:bCs/>
        </w:rPr>
        <w:t xml:space="preserve">Proposal </w:t>
      </w:r>
      <w:r w:rsidR="00014294">
        <w:rPr>
          <w:rFonts w:ascii="Arial" w:hAnsi="Arial" w:cs="Arial"/>
          <w:b/>
          <w:bCs/>
        </w:rPr>
        <w:t>1</w:t>
      </w:r>
      <w:r w:rsidRPr="00B90BD9">
        <w:rPr>
          <w:rFonts w:ascii="Arial" w:hAnsi="Arial" w:cs="Arial"/>
          <w:b/>
          <w:bCs/>
        </w:rPr>
        <w:t>: For eMTC NTN, introduce a time-based conditional reconfiguration trigger based on condEventT1 in NR, where the event will be satisfied if conditional handover execution occurs between T1 and T2, where T2 = T1 + a duration</w:t>
      </w:r>
      <w:r w:rsidR="005E7166">
        <w:rPr>
          <w:rFonts w:ascii="Arial" w:hAnsi="Arial" w:cs="Arial"/>
          <w:b/>
          <w:bCs/>
        </w:rPr>
        <w:t xml:space="preserve"> (similar to </w:t>
      </w:r>
      <w:r w:rsidR="005E7166" w:rsidRPr="005E7166">
        <w:rPr>
          <w:rFonts w:ascii="Arial" w:hAnsi="Arial" w:cs="Arial"/>
          <w:b/>
          <w:bCs/>
        </w:rPr>
        <w:t>condEventT1</w:t>
      </w:r>
      <w:r w:rsidR="005E7166">
        <w:rPr>
          <w:rFonts w:ascii="Arial" w:hAnsi="Arial" w:cs="Arial"/>
          <w:b/>
          <w:bCs/>
        </w:rPr>
        <w:t xml:space="preserve"> in NR)</w:t>
      </w:r>
    </w:p>
    <w:p w14:paraId="4883E908" w14:textId="77777777" w:rsidR="00F01141" w:rsidRDefault="00F01141" w:rsidP="00AB1BD1">
      <w:pPr>
        <w:rPr>
          <w:rFonts w:ascii="Arial" w:hAnsi="Arial" w:cs="Arial"/>
          <w:b/>
          <w:bCs/>
        </w:rPr>
      </w:pPr>
    </w:p>
    <w:p w14:paraId="434CC4FC" w14:textId="7D698548" w:rsidR="00AB1BD1" w:rsidRDefault="00AB1BD1" w:rsidP="00AB1BD1">
      <w:pPr>
        <w:rPr>
          <w:rFonts w:ascii="Arial" w:hAnsi="Arial" w:cs="Arial"/>
          <w:b/>
          <w:bCs/>
        </w:rPr>
      </w:pPr>
      <w:r w:rsidRPr="00B90BD9">
        <w:rPr>
          <w:rFonts w:ascii="Arial" w:hAnsi="Arial" w:cs="Arial"/>
          <w:b/>
          <w:bCs/>
        </w:rPr>
        <w:t xml:space="preserve">Proposal </w:t>
      </w:r>
      <w:r w:rsidR="00014294">
        <w:rPr>
          <w:rFonts w:ascii="Arial" w:hAnsi="Arial" w:cs="Arial"/>
          <w:b/>
          <w:bCs/>
        </w:rPr>
        <w:t>2</w:t>
      </w:r>
      <w:r w:rsidRPr="00B90BD9">
        <w:rPr>
          <w:rFonts w:ascii="Arial" w:hAnsi="Arial" w:cs="Arial"/>
          <w:b/>
          <w:bCs/>
        </w:rPr>
        <w:t>: 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w:t>
      </w:r>
      <w:r w:rsidR="005E7166">
        <w:rPr>
          <w:rFonts w:ascii="Arial" w:hAnsi="Arial" w:cs="Arial"/>
          <w:b/>
          <w:bCs/>
        </w:rPr>
        <w:t xml:space="preserve"> (similar to </w:t>
      </w:r>
      <w:r w:rsidR="005E7166" w:rsidRPr="005E7166">
        <w:rPr>
          <w:rFonts w:ascii="Arial" w:hAnsi="Arial" w:cs="Arial"/>
          <w:b/>
          <w:bCs/>
        </w:rPr>
        <w:t>condEvent</w:t>
      </w:r>
      <w:r w:rsidR="005E7166">
        <w:rPr>
          <w:rFonts w:ascii="Arial" w:hAnsi="Arial" w:cs="Arial"/>
          <w:b/>
          <w:bCs/>
        </w:rPr>
        <w:t>D</w:t>
      </w:r>
      <w:r w:rsidR="005E7166" w:rsidRPr="005E7166">
        <w:rPr>
          <w:rFonts w:ascii="Arial" w:hAnsi="Arial" w:cs="Arial"/>
          <w:b/>
          <w:bCs/>
        </w:rPr>
        <w:t>1</w:t>
      </w:r>
      <w:r w:rsidR="005E7166">
        <w:rPr>
          <w:rFonts w:ascii="Arial" w:hAnsi="Arial" w:cs="Arial"/>
          <w:b/>
          <w:bCs/>
        </w:rPr>
        <w:t xml:space="preserve"> in NR)</w:t>
      </w:r>
    </w:p>
    <w:p w14:paraId="5B236A5C" w14:textId="550013BB" w:rsidR="005E7166" w:rsidRDefault="005E7166" w:rsidP="00AB1BD1">
      <w:pPr>
        <w:rPr>
          <w:rFonts w:ascii="Arial" w:hAnsi="Arial" w:cs="Arial"/>
          <w:b/>
          <w:bCs/>
        </w:rPr>
      </w:pPr>
    </w:p>
    <w:p w14:paraId="7F01DE85" w14:textId="24ADF806" w:rsidR="005E7166" w:rsidRPr="00B90BD9" w:rsidRDefault="005E7166" w:rsidP="00AB1BD1">
      <w:pPr>
        <w:rPr>
          <w:rFonts w:ascii="Arial" w:hAnsi="Arial" w:cs="Arial"/>
          <w:b/>
          <w:bCs/>
        </w:rPr>
      </w:pPr>
      <w:r>
        <w:rPr>
          <w:rFonts w:ascii="Arial" w:hAnsi="Arial" w:cs="Arial"/>
          <w:b/>
          <w:bCs/>
        </w:rPr>
        <w:t xml:space="preserve">Proposal </w:t>
      </w:r>
      <w:r w:rsidR="00014294">
        <w:rPr>
          <w:rFonts w:ascii="Arial" w:hAnsi="Arial" w:cs="Arial"/>
          <w:b/>
          <w:bCs/>
        </w:rPr>
        <w:t>3</w:t>
      </w:r>
      <w:r>
        <w:rPr>
          <w:rFonts w:ascii="Arial" w:hAnsi="Arial" w:cs="Arial"/>
          <w:b/>
          <w:bCs/>
        </w:rPr>
        <w:t xml:space="preserve">: For eMTC NTN, introduce event A4 based conditional trigger (similar to </w:t>
      </w:r>
      <w:r w:rsidRPr="005E7166">
        <w:rPr>
          <w:rFonts w:ascii="Arial" w:hAnsi="Arial" w:cs="Arial"/>
          <w:b/>
          <w:bCs/>
        </w:rPr>
        <w:t>condEventA4</w:t>
      </w:r>
      <w:r>
        <w:rPr>
          <w:rFonts w:ascii="Arial" w:hAnsi="Arial" w:cs="Arial"/>
          <w:b/>
          <w:bCs/>
        </w:rPr>
        <w:t xml:space="preserve"> in NR).</w:t>
      </w:r>
    </w:p>
    <w:p w14:paraId="3D6A4A1F" w14:textId="77777777" w:rsidR="00AB1BD1" w:rsidRDefault="00AB1BD1" w:rsidP="00AB1BD1">
      <w:pPr>
        <w:rPr>
          <w:rFonts w:ascii="Arial" w:hAnsi="Arial" w:cs="Arial"/>
        </w:rPr>
      </w:pPr>
    </w:p>
    <w:p w14:paraId="31AA5916" w14:textId="127824C2" w:rsidR="00AB1BD1" w:rsidRPr="008E6000" w:rsidRDefault="00AB1BD1" w:rsidP="00AB1BD1">
      <w:pPr>
        <w:rPr>
          <w:rFonts w:ascii="Arial" w:hAnsi="Arial" w:cs="Arial"/>
          <w:b/>
          <w:bCs/>
        </w:rPr>
      </w:pPr>
      <w:r w:rsidRPr="008E6000">
        <w:rPr>
          <w:rFonts w:ascii="Arial" w:hAnsi="Arial" w:cs="Arial"/>
          <w:b/>
          <w:bCs/>
        </w:rPr>
        <w:lastRenderedPageBreak/>
        <w:t xml:space="preserve">Proposal </w:t>
      </w:r>
      <w:r w:rsidR="00014294">
        <w:rPr>
          <w:rFonts w:ascii="Arial" w:hAnsi="Arial" w:cs="Arial"/>
          <w:b/>
          <w:bCs/>
        </w:rPr>
        <w:t>4</w:t>
      </w:r>
      <w:r w:rsidRPr="008E6000">
        <w:rPr>
          <w:rFonts w:ascii="Arial" w:hAnsi="Arial" w:cs="Arial"/>
          <w:b/>
          <w:bCs/>
        </w:rPr>
        <w:t>: Time and location</w:t>
      </w:r>
      <w:r>
        <w:rPr>
          <w:rFonts w:ascii="Arial" w:hAnsi="Arial" w:cs="Arial"/>
          <w:b/>
          <w:bCs/>
        </w:rPr>
        <w:t>-</w:t>
      </w:r>
      <w:r w:rsidRPr="008E6000">
        <w:rPr>
          <w:rFonts w:ascii="Arial" w:hAnsi="Arial" w:cs="Arial"/>
          <w:b/>
          <w:bCs/>
        </w:rPr>
        <w:t>based trigger conditions may be configured independently</w:t>
      </w:r>
      <w:r>
        <w:rPr>
          <w:rFonts w:ascii="Arial" w:hAnsi="Arial" w:cs="Arial"/>
          <w:b/>
          <w:bCs/>
        </w:rPr>
        <w:t xml:space="preserve"> (i.e., without a jointly configured </w:t>
      </w:r>
      <w:r w:rsidR="005E7166">
        <w:rPr>
          <w:rFonts w:ascii="Arial" w:hAnsi="Arial" w:cs="Arial"/>
          <w:b/>
          <w:bCs/>
        </w:rPr>
        <w:t xml:space="preserve">event A4 </w:t>
      </w:r>
      <w:r>
        <w:rPr>
          <w:rFonts w:ascii="Arial" w:hAnsi="Arial" w:cs="Arial"/>
          <w:b/>
          <w:bCs/>
        </w:rPr>
        <w:t>measurement condition)</w:t>
      </w:r>
      <w:r w:rsidRPr="008E6000">
        <w:rPr>
          <w:rFonts w:ascii="Arial" w:hAnsi="Arial" w:cs="Arial"/>
          <w:b/>
          <w:bCs/>
        </w:rPr>
        <w:t xml:space="preserve"> for eMTC NTN.</w:t>
      </w:r>
    </w:p>
    <w:p w14:paraId="25E972DC" w14:textId="798D3016" w:rsidR="00F01141" w:rsidRPr="00AC3CD2" w:rsidRDefault="00F01141" w:rsidP="00AB1BD1">
      <w:pPr>
        <w:rPr>
          <w:rFonts w:ascii="Arial" w:hAnsi="Arial" w:cs="Arial"/>
        </w:rPr>
      </w:pPr>
    </w:p>
    <w:p w14:paraId="43E9B3D0" w14:textId="513C941A" w:rsidR="002D2783" w:rsidRDefault="002D2783" w:rsidP="002D2783">
      <w:pPr>
        <w:rPr>
          <w:rFonts w:ascii="Arial" w:hAnsi="Arial" w:cs="Arial"/>
          <w:u w:val="single"/>
        </w:rPr>
      </w:pPr>
      <w:r w:rsidRPr="00B14E1E">
        <w:rPr>
          <w:rFonts w:ascii="Arial" w:hAnsi="Arial" w:cs="Arial"/>
          <w:u w:val="single"/>
        </w:rPr>
        <w:t xml:space="preserve">For </w:t>
      </w:r>
      <w:r>
        <w:rPr>
          <w:rFonts w:ascii="Arial" w:hAnsi="Arial" w:cs="Arial"/>
          <w:u w:val="single"/>
        </w:rPr>
        <w:t>Idle/Inactive</w:t>
      </w:r>
      <w:r w:rsidRPr="00B14E1E">
        <w:rPr>
          <w:rFonts w:ascii="Arial" w:hAnsi="Arial" w:cs="Arial"/>
          <w:u w:val="single"/>
        </w:rPr>
        <w:t>:</w:t>
      </w:r>
    </w:p>
    <w:p w14:paraId="6974547F" w14:textId="77777777" w:rsidR="002D2783" w:rsidRDefault="002D2783" w:rsidP="002D2783">
      <w:pPr>
        <w:rPr>
          <w:rFonts w:ascii="Arial" w:hAnsi="Arial" w:cs="Arial"/>
          <w:u w:val="single"/>
        </w:rPr>
      </w:pPr>
    </w:p>
    <w:p w14:paraId="148AC643" w14:textId="2626E844" w:rsidR="00AB1BD1" w:rsidRPr="00775EE0" w:rsidRDefault="00AB1BD1" w:rsidP="00AB1BD1">
      <w:pPr>
        <w:rPr>
          <w:rFonts w:ascii="Arial" w:hAnsi="Arial" w:cs="Arial"/>
          <w:b/>
          <w:bCs/>
        </w:rPr>
      </w:pPr>
      <w:r w:rsidRPr="00775EE0">
        <w:rPr>
          <w:rFonts w:ascii="Arial" w:hAnsi="Arial" w:cs="Arial"/>
          <w:b/>
          <w:bCs/>
        </w:rPr>
        <w:t xml:space="preserve">Proposal </w:t>
      </w:r>
      <w:r w:rsidR="00014294">
        <w:rPr>
          <w:rFonts w:ascii="Arial" w:hAnsi="Arial" w:cs="Arial"/>
          <w:b/>
          <w:bCs/>
        </w:rPr>
        <w:t>5</w:t>
      </w:r>
      <w:r w:rsidRPr="00775EE0">
        <w:rPr>
          <w:rFonts w:ascii="Arial" w:hAnsi="Arial" w:cs="Arial"/>
          <w:b/>
          <w:bCs/>
        </w:rPr>
        <w:t>: Introduce optional distance</w:t>
      </w:r>
      <w:r>
        <w:rPr>
          <w:rFonts w:ascii="Arial" w:hAnsi="Arial" w:cs="Arial"/>
          <w:b/>
          <w:bCs/>
        </w:rPr>
        <w:t>-</w:t>
      </w:r>
      <w:r w:rsidRPr="00775EE0">
        <w:rPr>
          <w:rFonts w:ascii="Arial" w:hAnsi="Arial" w:cs="Arial"/>
          <w:b/>
          <w:bCs/>
        </w:rPr>
        <w:t xml:space="preserve">based relaxation for RRC_IDLE based on </w:t>
      </w:r>
      <w:r w:rsidRPr="00775EE0">
        <w:rPr>
          <w:rFonts w:ascii="Arial" w:hAnsi="Arial" w:cs="Arial"/>
          <w:b/>
          <w:bCs/>
          <w:i/>
          <w:iCs/>
        </w:rPr>
        <w:t xml:space="preserve">distanceThresh </w:t>
      </w:r>
      <w:r w:rsidRPr="00775EE0">
        <w:rPr>
          <w:rFonts w:ascii="Arial" w:hAnsi="Arial" w:cs="Arial"/>
          <w:b/>
          <w:bCs/>
        </w:rPr>
        <w:t xml:space="preserve">in NR.  </w:t>
      </w:r>
    </w:p>
    <w:p w14:paraId="45E9B86B" w14:textId="77777777" w:rsidR="008F4846" w:rsidRPr="00AC3CD2" w:rsidRDefault="008F4846"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1" w:name="_Ref110867306"/>
    <w:p w14:paraId="3B018D6C" w14:textId="157A599F" w:rsidR="00D205BC" w:rsidRPr="00AC3CD2" w:rsidRDefault="003F50D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AC3CD2">
        <w:rPr>
          <w:rFonts w:ascii="Arial" w:hAnsi="Arial" w:cs="Arial"/>
        </w:rPr>
        <w:fldChar w:fldCharType="begin"/>
      </w:r>
      <w:r w:rsidR="0032326C" w:rsidRPr="00AC3CD2">
        <w:rPr>
          <w:rFonts w:ascii="Arial" w:hAnsi="Arial" w:cs="Arial"/>
        </w:rPr>
        <w:instrText>HYPERLINK "https://www.3gpp.org/ftp/tsg_ran/TSG_RAN/TSGR_96/Docs/RP-221806.zip"</w:instrText>
      </w:r>
      <w:r w:rsidRPr="00AC3CD2">
        <w:rPr>
          <w:rFonts w:ascii="Arial" w:hAnsi="Arial" w:cs="Arial"/>
        </w:rPr>
      </w:r>
      <w:r w:rsidRPr="00AC3CD2">
        <w:rPr>
          <w:rFonts w:ascii="Arial" w:hAnsi="Arial" w:cs="Arial"/>
        </w:rPr>
        <w:fldChar w:fldCharType="separate"/>
      </w:r>
      <w:r w:rsidR="0032326C" w:rsidRPr="00AC3CD2">
        <w:rPr>
          <w:rStyle w:val="Hyperlink"/>
          <w:rFonts w:ascii="Arial" w:hAnsi="Arial" w:cs="Arial"/>
        </w:rPr>
        <w:t>RP-221806</w:t>
      </w:r>
      <w:r w:rsidRPr="00AC3CD2">
        <w:rPr>
          <w:rFonts w:ascii="Arial" w:hAnsi="Arial" w:cs="Arial"/>
        </w:rPr>
        <w:fldChar w:fldCharType="end"/>
      </w:r>
      <w:r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1"/>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FC6672"/>
    <w:multiLevelType w:val="hybridMultilevel"/>
    <w:tmpl w:val="121AE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5"/>
  </w:num>
  <w:num w:numId="2" w16cid:durableId="1822573651">
    <w:abstractNumId w:val="8"/>
  </w:num>
  <w:num w:numId="3" w16cid:durableId="1293515717">
    <w:abstractNumId w:val="6"/>
  </w:num>
  <w:num w:numId="4" w16cid:durableId="1859391698">
    <w:abstractNumId w:val="19"/>
  </w:num>
  <w:num w:numId="5" w16cid:durableId="642084593">
    <w:abstractNumId w:val="0"/>
  </w:num>
  <w:num w:numId="6" w16cid:durableId="224075879">
    <w:abstractNumId w:val="0"/>
  </w:num>
  <w:num w:numId="7" w16cid:durableId="1432315274">
    <w:abstractNumId w:val="20"/>
  </w:num>
  <w:num w:numId="8" w16cid:durableId="550461415">
    <w:abstractNumId w:val="12"/>
  </w:num>
  <w:num w:numId="9" w16cid:durableId="2113240567">
    <w:abstractNumId w:val="19"/>
  </w:num>
  <w:num w:numId="10" w16cid:durableId="319046138">
    <w:abstractNumId w:val="24"/>
  </w:num>
  <w:num w:numId="11" w16cid:durableId="989089676">
    <w:abstractNumId w:val="16"/>
  </w:num>
  <w:num w:numId="12" w16cid:durableId="3017690">
    <w:abstractNumId w:val="4"/>
  </w:num>
  <w:num w:numId="13" w16cid:durableId="1136416161">
    <w:abstractNumId w:val="7"/>
  </w:num>
  <w:num w:numId="14" w16cid:durableId="1598631832">
    <w:abstractNumId w:val="5"/>
  </w:num>
  <w:num w:numId="15" w16cid:durableId="1873760530">
    <w:abstractNumId w:val="11"/>
  </w:num>
  <w:num w:numId="16" w16cid:durableId="1043483843">
    <w:abstractNumId w:val="3"/>
  </w:num>
  <w:num w:numId="17" w16cid:durableId="2081756601">
    <w:abstractNumId w:val="18"/>
  </w:num>
  <w:num w:numId="18" w16cid:durableId="405349453">
    <w:abstractNumId w:val="1"/>
  </w:num>
  <w:num w:numId="19" w16cid:durableId="1503083248">
    <w:abstractNumId w:val="23"/>
  </w:num>
  <w:num w:numId="20" w16cid:durableId="1899658392">
    <w:abstractNumId w:val="22"/>
  </w:num>
  <w:num w:numId="21" w16cid:durableId="880744961">
    <w:abstractNumId w:val="13"/>
  </w:num>
  <w:num w:numId="22" w16cid:durableId="1932346878">
    <w:abstractNumId w:val="10"/>
  </w:num>
  <w:num w:numId="23" w16cid:durableId="1922060479">
    <w:abstractNumId w:val="15"/>
  </w:num>
  <w:num w:numId="24" w16cid:durableId="695473169">
    <w:abstractNumId w:val="26"/>
  </w:num>
  <w:num w:numId="25" w16cid:durableId="1334406846">
    <w:abstractNumId w:val="2"/>
  </w:num>
  <w:num w:numId="26" w16cid:durableId="2089959535">
    <w:abstractNumId w:val="9"/>
  </w:num>
  <w:num w:numId="27" w16cid:durableId="665208204">
    <w:abstractNumId w:val="14"/>
  </w:num>
  <w:num w:numId="28" w16cid:durableId="1713311196">
    <w:abstractNumId w:val="21"/>
  </w:num>
  <w:num w:numId="29" w16cid:durableId="16411070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4294"/>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07FD"/>
    <w:rsid w:val="000517E4"/>
    <w:rsid w:val="00052534"/>
    <w:rsid w:val="000536C1"/>
    <w:rsid w:val="0005434C"/>
    <w:rsid w:val="00054537"/>
    <w:rsid w:val="000549F7"/>
    <w:rsid w:val="00065E19"/>
    <w:rsid w:val="00066ACC"/>
    <w:rsid w:val="0006781B"/>
    <w:rsid w:val="00071278"/>
    <w:rsid w:val="000746E2"/>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FD"/>
    <w:rsid w:val="000C2824"/>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10261C"/>
    <w:rsid w:val="0011068A"/>
    <w:rsid w:val="001123B7"/>
    <w:rsid w:val="00114B5E"/>
    <w:rsid w:val="001157D4"/>
    <w:rsid w:val="00116140"/>
    <w:rsid w:val="00121A61"/>
    <w:rsid w:val="00121AA8"/>
    <w:rsid w:val="001229EA"/>
    <w:rsid w:val="00122B31"/>
    <w:rsid w:val="00122FB9"/>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0038"/>
    <w:rsid w:val="001658C9"/>
    <w:rsid w:val="00167978"/>
    <w:rsid w:val="00171C3F"/>
    <w:rsid w:val="00172C95"/>
    <w:rsid w:val="00173756"/>
    <w:rsid w:val="00173DF4"/>
    <w:rsid w:val="0017474C"/>
    <w:rsid w:val="00176101"/>
    <w:rsid w:val="001818A5"/>
    <w:rsid w:val="00182416"/>
    <w:rsid w:val="00183A09"/>
    <w:rsid w:val="00184048"/>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7267"/>
    <w:rsid w:val="001C09B3"/>
    <w:rsid w:val="001C0B81"/>
    <w:rsid w:val="001C1B2E"/>
    <w:rsid w:val="001C6C22"/>
    <w:rsid w:val="001C7317"/>
    <w:rsid w:val="001C78C6"/>
    <w:rsid w:val="001C7C26"/>
    <w:rsid w:val="001D4480"/>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EAC"/>
    <w:rsid w:val="00241AAA"/>
    <w:rsid w:val="0024222F"/>
    <w:rsid w:val="00243468"/>
    <w:rsid w:val="0024389F"/>
    <w:rsid w:val="0024449A"/>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7553"/>
    <w:rsid w:val="002D7D5D"/>
    <w:rsid w:val="002E0048"/>
    <w:rsid w:val="002E1978"/>
    <w:rsid w:val="002E3BFD"/>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48AD"/>
    <w:rsid w:val="003349E9"/>
    <w:rsid w:val="00340B62"/>
    <w:rsid w:val="00340CC3"/>
    <w:rsid w:val="00340F1E"/>
    <w:rsid w:val="003434BE"/>
    <w:rsid w:val="00343BA2"/>
    <w:rsid w:val="00352217"/>
    <w:rsid w:val="00352232"/>
    <w:rsid w:val="003534E4"/>
    <w:rsid w:val="003562DD"/>
    <w:rsid w:val="00357BA9"/>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8D8"/>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4EF0"/>
    <w:rsid w:val="004E668C"/>
    <w:rsid w:val="004F0A44"/>
    <w:rsid w:val="004F2AB4"/>
    <w:rsid w:val="004F3C96"/>
    <w:rsid w:val="004F4154"/>
    <w:rsid w:val="004F6FE6"/>
    <w:rsid w:val="004F7576"/>
    <w:rsid w:val="005004EB"/>
    <w:rsid w:val="005025FA"/>
    <w:rsid w:val="00506008"/>
    <w:rsid w:val="00506A7D"/>
    <w:rsid w:val="00523801"/>
    <w:rsid w:val="00523A75"/>
    <w:rsid w:val="0052419F"/>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2DD2"/>
    <w:rsid w:val="00586589"/>
    <w:rsid w:val="00586C80"/>
    <w:rsid w:val="00592319"/>
    <w:rsid w:val="005938E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01A9"/>
    <w:rsid w:val="005D4ECB"/>
    <w:rsid w:val="005D5E68"/>
    <w:rsid w:val="005D7660"/>
    <w:rsid w:val="005D7A98"/>
    <w:rsid w:val="005E10B7"/>
    <w:rsid w:val="005E37E0"/>
    <w:rsid w:val="005E3C34"/>
    <w:rsid w:val="005E4AED"/>
    <w:rsid w:val="005E53A3"/>
    <w:rsid w:val="005E5482"/>
    <w:rsid w:val="005E7166"/>
    <w:rsid w:val="005E7480"/>
    <w:rsid w:val="005E7BF1"/>
    <w:rsid w:val="005F0D19"/>
    <w:rsid w:val="005F0E39"/>
    <w:rsid w:val="005F1BAA"/>
    <w:rsid w:val="005F57EA"/>
    <w:rsid w:val="005F583F"/>
    <w:rsid w:val="0060248C"/>
    <w:rsid w:val="00602B33"/>
    <w:rsid w:val="0060341F"/>
    <w:rsid w:val="00610B8A"/>
    <w:rsid w:val="0061200D"/>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B56"/>
    <w:rsid w:val="00664BCE"/>
    <w:rsid w:val="006655A7"/>
    <w:rsid w:val="00672460"/>
    <w:rsid w:val="00673D10"/>
    <w:rsid w:val="00674AD0"/>
    <w:rsid w:val="00675152"/>
    <w:rsid w:val="00681100"/>
    <w:rsid w:val="006821C5"/>
    <w:rsid w:val="006823D8"/>
    <w:rsid w:val="00682694"/>
    <w:rsid w:val="00682B26"/>
    <w:rsid w:val="00684EAA"/>
    <w:rsid w:val="00685D40"/>
    <w:rsid w:val="00691D6D"/>
    <w:rsid w:val="00692486"/>
    <w:rsid w:val="00695125"/>
    <w:rsid w:val="00697C83"/>
    <w:rsid w:val="006A0981"/>
    <w:rsid w:val="006A259B"/>
    <w:rsid w:val="006A34AB"/>
    <w:rsid w:val="006A4E54"/>
    <w:rsid w:val="006A6BF0"/>
    <w:rsid w:val="006B0746"/>
    <w:rsid w:val="006B428E"/>
    <w:rsid w:val="006B44DF"/>
    <w:rsid w:val="006B56C0"/>
    <w:rsid w:val="006B5DEA"/>
    <w:rsid w:val="006B754B"/>
    <w:rsid w:val="006C1BFB"/>
    <w:rsid w:val="006C2703"/>
    <w:rsid w:val="006C4CA0"/>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EE0"/>
    <w:rsid w:val="007767B5"/>
    <w:rsid w:val="007860F8"/>
    <w:rsid w:val="00786685"/>
    <w:rsid w:val="00786CFC"/>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10E7"/>
    <w:rsid w:val="007B2CBF"/>
    <w:rsid w:val="007B339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E20FE"/>
    <w:rsid w:val="007E2A99"/>
    <w:rsid w:val="007E451D"/>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6B68"/>
    <w:rsid w:val="00887BBC"/>
    <w:rsid w:val="0089238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6F64"/>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12D1C"/>
    <w:rsid w:val="00913B0C"/>
    <w:rsid w:val="009154EE"/>
    <w:rsid w:val="0091692B"/>
    <w:rsid w:val="009203F3"/>
    <w:rsid w:val="00920751"/>
    <w:rsid w:val="00920B33"/>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DFB"/>
    <w:rsid w:val="009B528A"/>
    <w:rsid w:val="009C195C"/>
    <w:rsid w:val="009C2989"/>
    <w:rsid w:val="009C3228"/>
    <w:rsid w:val="009C73DD"/>
    <w:rsid w:val="009D445D"/>
    <w:rsid w:val="009D6C88"/>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4A14"/>
    <w:rsid w:val="00A45900"/>
    <w:rsid w:val="00A46703"/>
    <w:rsid w:val="00A473DB"/>
    <w:rsid w:val="00A51D5A"/>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83A"/>
    <w:rsid w:val="00A85DD8"/>
    <w:rsid w:val="00A86E69"/>
    <w:rsid w:val="00A8767E"/>
    <w:rsid w:val="00A91703"/>
    <w:rsid w:val="00A94C78"/>
    <w:rsid w:val="00A950D4"/>
    <w:rsid w:val="00A9648D"/>
    <w:rsid w:val="00AA0774"/>
    <w:rsid w:val="00AA595D"/>
    <w:rsid w:val="00AB0F02"/>
    <w:rsid w:val="00AB1BD1"/>
    <w:rsid w:val="00AB3AB2"/>
    <w:rsid w:val="00AB3F45"/>
    <w:rsid w:val="00AB44FB"/>
    <w:rsid w:val="00AB5097"/>
    <w:rsid w:val="00AB67CA"/>
    <w:rsid w:val="00AB7231"/>
    <w:rsid w:val="00AC1318"/>
    <w:rsid w:val="00AC3CD2"/>
    <w:rsid w:val="00AC3F39"/>
    <w:rsid w:val="00AC6DCC"/>
    <w:rsid w:val="00AC6EBD"/>
    <w:rsid w:val="00AC7C14"/>
    <w:rsid w:val="00AD0BD3"/>
    <w:rsid w:val="00AD1088"/>
    <w:rsid w:val="00AD10A8"/>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4E1E"/>
    <w:rsid w:val="00B16728"/>
    <w:rsid w:val="00B2050B"/>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6FC"/>
    <w:rsid w:val="00B87221"/>
    <w:rsid w:val="00B87BC2"/>
    <w:rsid w:val="00B90BD9"/>
    <w:rsid w:val="00B953C5"/>
    <w:rsid w:val="00B95538"/>
    <w:rsid w:val="00B95A4D"/>
    <w:rsid w:val="00B97022"/>
    <w:rsid w:val="00B973F9"/>
    <w:rsid w:val="00BA04DA"/>
    <w:rsid w:val="00BA0F96"/>
    <w:rsid w:val="00BA1B1A"/>
    <w:rsid w:val="00BA38FD"/>
    <w:rsid w:val="00BA693D"/>
    <w:rsid w:val="00BB24AA"/>
    <w:rsid w:val="00BB2CC1"/>
    <w:rsid w:val="00BB3BA7"/>
    <w:rsid w:val="00BB5CE6"/>
    <w:rsid w:val="00BB687B"/>
    <w:rsid w:val="00BC1926"/>
    <w:rsid w:val="00BC1F47"/>
    <w:rsid w:val="00BC3CD6"/>
    <w:rsid w:val="00BD44AD"/>
    <w:rsid w:val="00BD605B"/>
    <w:rsid w:val="00BE1D59"/>
    <w:rsid w:val="00BE48AD"/>
    <w:rsid w:val="00BE5222"/>
    <w:rsid w:val="00BE5FFF"/>
    <w:rsid w:val="00BE630C"/>
    <w:rsid w:val="00BF27AD"/>
    <w:rsid w:val="00BF2958"/>
    <w:rsid w:val="00C0026D"/>
    <w:rsid w:val="00C02034"/>
    <w:rsid w:val="00C06E52"/>
    <w:rsid w:val="00C076A9"/>
    <w:rsid w:val="00C106A8"/>
    <w:rsid w:val="00C12F98"/>
    <w:rsid w:val="00C13BC1"/>
    <w:rsid w:val="00C16EB0"/>
    <w:rsid w:val="00C17C32"/>
    <w:rsid w:val="00C2073D"/>
    <w:rsid w:val="00C22157"/>
    <w:rsid w:val="00C22AAB"/>
    <w:rsid w:val="00C23299"/>
    <w:rsid w:val="00C2329C"/>
    <w:rsid w:val="00C23763"/>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3EA6"/>
    <w:rsid w:val="00C6417A"/>
    <w:rsid w:val="00C64244"/>
    <w:rsid w:val="00C721C3"/>
    <w:rsid w:val="00C7242C"/>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30B"/>
    <w:rsid w:val="00CB79FB"/>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CF64D2"/>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457B"/>
    <w:rsid w:val="00D55F5C"/>
    <w:rsid w:val="00D61D2E"/>
    <w:rsid w:val="00D6353B"/>
    <w:rsid w:val="00D63FE6"/>
    <w:rsid w:val="00D6703E"/>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A62B0"/>
    <w:rsid w:val="00DB25D6"/>
    <w:rsid w:val="00DB3859"/>
    <w:rsid w:val="00DB4E16"/>
    <w:rsid w:val="00DB5E03"/>
    <w:rsid w:val="00DB6079"/>
    <w:rsid w:val="00DB6370"/>
    <w:rsid w:val="00DB66D9"/>
    <w:rsid w:val="00DB73D0"/>
    <w:rsid w:val="00DB7874"/>
    <w:rsid w:val="00DC0AF9"/>
    <w:rsid w:val="00DC1200"/>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464D0"/>
    <w:rsid w:val="00E51896"/>
    <w:rsid w:val="00E52AA9"/>
    <w:rsid w:val="00E55AE9"/>
    <w:rsid w:val="00E56641"/>
    <w:rsid w:val="00E56BFD"/>
    <w:rsid w:val="00E57B33"/>
    <w:rsid w:val="00E608CF"/>
    <w:rsid w:val="00E623FC"/>
    <w:rsid w:val="00E63278"/>
    <w:rsid w:val="00E64A97"/>
    <w:rsid w:val="00E66F64"/>
    <w:rsid w:val="00E67459"/>
    <w:rsid w:val="00E711EA"/>
    <w:rsid w:val="00E74724"/>
    <w:rsid w:val="00E755BC"/>
    <w:rsid w:val="00E76444"/>
    <w:rsid w:val="00E7697F"/>
    <w:rsid w:val="00E779A8"/>
    <w:rsid w:val="00E80720"/>
    <w:rsid w:val="00E85B17"/>
    <w:rsid w:val="00E86370"/>
    <w:rsid w:val="00E86A1A"/>
    <w:rsid w:val="00E86D91"/>
    <w:rsid w:val="00E87BA9"/>
    <w:rsid w:val="00E90350"/>
    <w:rsid w:val="00E9082C"/>
    <w:rsid w:val="00E91DF3"/>
    <w:rsid w:val="00E922AB"/>
    <w:rsid w:val="00E947A9"/>
    <w:rsid w:val="00E94CE1"/>
    <w:rsid w:val="00E96043"/>
    <w:rsid w:val="00EA031B"/>
    <w:rsid w:val="00EA181C"/>
    <w:rsid w:val="00EA212A"/>
    <w:rsid w:val="00EA2BBC"/>
    <w:rsid w:val="00EA3297"/>
    <w:rsid w:val="00EA3BAC"/>
    <w:rsid w:val="00EA5314"/>
    <w:rsid w:val="00EB19B1"/>
    <w:rsid w:val="00EB2CC4"/>
    <w:rsid w:val="00EB3EF4"/>
    <w:rsid w:val="00EB4330"/>
    <w:rsid w:val="00EB4649"/>
    <w:rsid w:val="00EB62E5"/>
    <w:rsid w:val="00EC25EB"/>
    <w:rsid w:val="00EC3404"/>
    <w:rsid w:val="00EC4862"/>
    <w:rsid w:val="00EC4DB8"/>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40CC"/>
    <w:rsid w:val="00EF57B2"/>
    <w:rsid w:val="00F00098"/>
    <w:rsid w:val="00F01141"/>
    <w:rsid w:val="00F041FC"/>
    <w:rsid w:val="00F0502C"/>
    <w:rsid w:val="00F051EC"/>
    <w:rsid w:val="00F05F69"/>
    <w:rsid w:val="00F072A0"/>
    <w:rsid w:val="00F078DF"/>
    <w:rsid w:val="00F07A8D"/>
    <w:rsid w:val="00F07E6A"/>
    <w:rsid w:val="00F103FE"/>
    <w:rsid w:val="00F12605"/>
    <w:rsid w:val="00F137D4"/>
    <w:rsid w:val="00F14DA5"/>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6D43"/>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1F7F"/>
    <w:rsid w:val="00FE584D"/>
    <w:rsid w:val="00FE7E42"/>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E5F6E852-B45F-4673-9383-6FF50EA4C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4</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417</cp:revision>
  <dcterms:created xsi:type="dcterms:W3CDTF">2022-02-10T15:51:00Z</dcterms:created>
  <dcterms:modified xsi:type="dcterms:W3CDTF">2022-11-03T17:52:00Z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